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D3" w:rsidRPr="00A414BD" w:rsidRDefault="00A414BD" w:rsidP="00B57CFA">
      <w:pPr>
        <w:rPr>
          <w:rFonts w:ascii="黑体" w:eastAsia="黑体" w:hAnsi="黑体" w:hint="eastAsia"/>
          <w:sz w:val="32"/>
          <w:szCs w:val="32"/>
        </w:rPr>
      </w:pPr>
      <w:bookmarkStart w:id="0" w:name="_GoBack"/>
      <w:bookmarkEnd w:id="0"/>
      <w:r w:rsidRPr="00A414BD">
        <w:rPr>
          <w:rFonts w:ascii="黑体" w:eastAsia="黑体" w:hAnsi="黑体" w:hint="eastAsia"/>
          <w:sz w:val="32"/>
          <w:szCs w:val="32"/>
        </w:rPr>
        <w:t>附件</w:t>
      </w:r>
    </w:p>
    <w:p w:rsidR="0068037F" w:rsidRDefault="0068037F" w:rsidP="00B57CFA">
      <w:pPr>
        <w:widowControl/>
        <w:shd w:val="clear" w:color="auto" w:fill="FFFFFF"/>
        <w:spacing w:line="540" w:lineRule="exact"/>
        <w:jc w:val="center"/>
        <w:rPr>
          <w:rFonts w:ascii="方正楷体_GBK" w:eastAsia="方正楷体_GBK" w:cs="宋体" w:hint="eastAsia"/>
          <w:b/>
          <w:kern w:val="0"/>
          <w:sz w:val="32"/>
          <w:szCs w:val="32"/>
        </w:rPr>
      </w:pPr>
      <w:r>
        <w:rPr>
          <w:rFonts w:ascii="方正小标宋_GBK" w:eastAsia="方正小标宋_GBK" w:cs="宋体" w:hint="eastAsia"/>
          <w:kern w:val="0"/>
          <w:sz w:val="44"/>
          <w:szCs w:val="44"/>
        </w:rPr>
        <w:t>无锡市水利局企业行政合</w:t>
      </w:r>
      <w:proofErr w:type="gramStart"/>
      <w:r>
        <w:rPr>
          <w:rFonts w:ascii="方正小标宋_GBK" w:eastAsia="方正小标宋_GBK" w:cs="宋体" w:hint="eastAsia"/>
          <w:kern w:val="0"/>
          <w:sz w:val="44"/>
          <w:szCs w:val="44"/>
        </w:rPr>
        <w:t>规</w:t>
      </w:r>
      <w:proofErr w:type="gramEnd"/>
      <w:r>
        <w:rPr>
          <w:rFonts w:ascii="方正小标宋_GBK" w:eastAsia="方正小标宋_GBK" w:cs="宋体" w:hint="eastAsia"/>
          <w:kern w:val="0"/>
          <w:sz w:val="44"/>
          <w:szCs w:val="44"/>
        </w:rPr>
        <w:t>指导清单</w:t>
      </w:r>
      <w:r w:rsidR="00A414BD">
        <w:rPr>
          <w:rFonts w:ascii="方正小标宋_GBK" w:eastAsia="方正小标宋_GBK" w:cs="宋体" w:hint="eastAsia"/>
          <w:kern w:val="0"/>
          <w:sz w:val="44"/>
          <w:szCs w:val="44"/>
        </w:rPr>
        <w:t>（第</w:t>
      </w:r>
      <w:r w:rsidR="00A414BD">
        <w:rPr>
          <w:rFonts w:ascii="方正小标宋_GBK" w:eastAsia="方正小标宋_GBK" w:cs="宋体"/>
          <w:kern w:val="0"/>
          <w:sz w:val="44"/>
          <w:szCs w:val="44"/>
        </w:rPr>
        <w:t>一批）</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9"/>
        <w:gridCol w:w="1275"/>
        <w:gridCol w:w="1702"/>
        <w:gridCol w:w="5812"/>
        <w:gridCol w:w="1276"/>
        <w:gridCol w:w="2410"/>
        <w:gridCol w:w="1266"/>
      </w:tblGrid>
      <w:tr w:rsidR="0068037F" w:rsidTr="00B57CFA">
        <w:trPr>
          <w:tblHeader/>
          <w:jc w:val="center"/>
        </w:trPr>
        <w:tc>
          <w:tcPr>
            <w:tcW w:w="699"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cs="宋体" w:hint="eastAsia"/>
                <w:kern w:val="0"/>
                <w:sz w:val="24"/>
              </w:rPr>
              <w:t>序号</w:t>
            </w:r>
          </w:p>
        </w:tc>
        <w:tc>
          <w:tcPr>
            <w:tcW w:w="1275"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cs="宋体" w:hint="eastAsia"/>
                <w:kern w:val="0"/>
                <w:sz w:val="24"/>
              </w:rPr>
              <w:t>行政合</w:t>
            </w:r>
            <w:proofErr w:type="gramStart"/>
            <w:r>
              <w:rPr>
                <w:rFonts w:ascii="方正黑体_GBK" w:eastAsia="方正黑体_GBK" w:cs="宋体" w:hint="eastAsia"/>
                <w:kern w:val="0"/>
                <w:sz w:val="24"/>
              </w:rPr>
              <w:t>规</w:t>
            </w:r>
            <w:proofErr w:type="gramEnd"/>
            <w:r>
              <w:rPr>
                <w:rFonts w:ascii="方正黑体_GBK" w:eastAsia="方正黑体_GBK" w:cs="宋体" w:hint="eastAsia"/>
                <w:kern w:val="0"/>
                <w:sz w:val="24"/>
              </w:rPr>
              <w:t>事项</w:t>
            </w:r>
          </w:p>
        </w:tc>
        <w:tc>
          <w:tcPr>
            <w:tcW w:w="1702"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cs="宋体" w:hint="eastAsia"/>
                <w:kern w:val="0"/>
                <w:sz w:val="24"/>
              </w:rPr>
              <w:t>常见违法行为表现</w:t>
            </w:r>
          </w:p>
        </w:tc>
        <w:tc>
          <w:tcPr>
            <w:tcW w:w="5812"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hint="eastAsia"/>
                <w:kern w:val="0"/>
                <w:sz w:val="24"/>
              </w:rPr>
              <w:t>法律依据及违法责任</w:t>
            </w:r>
          </w:p>
        </w:tc>
        <w:tc>
          <w:tcPr>
            <w:tcW w:w="1276"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cs="宋体" w:hint="eastAsia"/>
                <w:kern w:val="0"/>
                <w:sz w:val="24"/>
              </w:rPr>
              <w:t>风险等级</w:t>
            </w:r>
          </w:p>
        </w:tc>
        <w:tc>
          <w:tcPr>
            <w:tcW w:w="2410"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cs="宋体" w:hint="eastAsia"/>
                <w:kern w:val="0"/>
                <w:sz w:val="24"/>
              </w:rPr>
              <w:t>合</w:t>
            </w:r>
            <w:proofErr w:type="gramStart"/>
            <w:r>
              <w:rPr>
                <w:rFonts w:ascii="方正黑体_GBK" w:eastAsia="方正黑体_GBK" w:cs="宋体" w:hint="eastAsia"/>
                <w:kern w:val="0"/>
                <w:sz w:val="24"/>
              </w:rPr>
              <w:t>规</w:t>
            </w:r>
            <w:proofErr w:type="gramEnd"/>
            <w:r>
              <w:rPr>
                <w:rFonts w:ascii="方正黑体_GBK" w:eastAsia="方正黑体_GBK" w:cs="宋体" w:hint="eastAsia"/>
                <w:kern w:val="0"/>
                <w:sz w:val="24"/>
              </w:rPr>
              <w:t>建议</w:t>
            </w:r>
          </w:p>
        </w:tc>
        <w:tc>
          <w:tcPr>
            <w:tcW w:w="1266" w:type="dxa"/>
            <w:noWrap/>
            <w:tcMar>
              <w:left w:w="108" w:type="dxa"/>
              <w:right w:w="108" w:type="dxa"/>
            </w:tcMar>
            <w:vAlign w:val="center"/>
          </w:tcPr>
          <w:p w:rsidR="0068037F" w:rsidRDefault="0068037F" w:rsidP="00B57CFA">
            <w:pPr>
              <w:widowControl/>
              <w:spacing w:line="320" w:lineRule="exact"/>
              <w:jc w:val="center"/>
              <w:rPr>
                <w:rFonts w:ascii="方正黑体_GBK" w:eastAsia="方正黑体_GBK" w:cs="宋体"/>
                <w:kern w:val="0"/>
                <w:sz w:val="24"/>
              </w:rPr>
            </w:pPr>
            <w:r>
              <w:rPr>
                <w:rFonts w:ascii="方正黑体_GBK" w:eastAsia="方正黑体_GBK" w:cs="宋体" w:hint="eastAsia"/>
                <w:kern w:val="0"/>
                <w:sz w:val="24"/>
              </w:rPr>
              <w:t>指导部门处室电话</w:t>
            </w:r>
          </w:p>
        </w:tc>
      </w:tr>
      <w:tr w:rsidR="00EE0505" w:rsidTr="00B57CFA">
        <w:trPr>
          <w:trHeight w:val="1800"/>
          <w:jc w:val="center"/>
        </w:trPr>
        <w:tc>
          <w:tcPr>
            <w:tcW w:w="699" w:type="dxa"/>
            <w:noWrap/>
            <w:tcMar>
              <w:left w:w="108" w:type="dxa"/>
              <w:right w:w="108" w:type="dxa"/>
            </w:tcMar>
            <w:vAlign w:val="center"/>
          </w:tcPr>
          <w:p w:rsidR="00EE0505" w:rsidRDefault="00EE0505" w:rsidP="00B57CFA">
            <w:pPr>
              <w:widowControl/>
              <w:spacing w:after="100" w:afterAutospacing="1" w:line="320" w:lineRule="exact"/>
              <w:jc w:val="center"/>
              <w:rPr>
                <w:color w:val="000000" w:themeColor="text1"/>
                <w:kern w:val="0"/>
                <w:szCs w:val="21"/>
              </w:rPr>
            </w:pPr>
            <w:r>
              <w:rPr>
                <w:rFonts w:hint="eastAsia"/>
                <w:color w:val="000000" w:themeColor="text1"/>
                <w:kern w:val="0"/>
                <w:szCs w:val="21"/>
              </w:rPr>
              <w:t>1</w:t>
            </w:r>
          </w:p>
        </w:tc>
        <w:tc>
          <w:tcPr>
            <w:tcW w:w="1275" w:type="dxa"/>
            <w:noWrap/>
            <w:tcMar>
              <w:left w:w="108" w:type="dxa"/>
              <w:right w:w="108" w:type="dxa"/>
            </w:tcMar>
            <w:vAlign w:val="center"/>
          </w:tcPr>
          <w:p w:rsidR="00EE0505" w:rsidRDefault="00EE0505" w:rsidP="00B57CFA">
            <w:pPr>
              <w:widowControl/>
              <w:spacing w:after="225" w:line="320" w:lineRule="exact"/>
              <w:jc w:val="center"/>
              <w:rPr>
                <w:color w:val="000000" w:themeColor="text1"/>
                <w:kern w:val="0"/>
                <w:szCs w:val="21"/>
              </w:rPr>
            </w:pPr>
            <w:r>
              <w:rPr>
                <w:color w:val="000000" w:themeColor="text1"/>
                <w:kern w:val="0"/>
                <w:szCs w:val="21"/>
              </w:rPr>
              <w:t>取水单位取水应依法获得取水许可证</w:t>
            </w:r>
          </w:p>
        </w:tc>
        <w:tc>
          <w:tcPr>
            <w:tcW w:w="1702" w:type="dxa"/>
            <w:noWrap/>
            <w:tcMar>
              <w:left w:w="108" w:type="dxa"/>
              <w:right w:w="108" w:type="dxa"/>
            </w:tcMar>
            <w:vAlign w:val="center"/>
          </w:tcPr>
          <w:p w:rsidR="00EE0505" w:rsidRDefault="00EE0505" w:rsidP="00B57CFA">
            <w:pPr>
              <w:widowControl/>
              <w:spacing w:after="225" w:line="320" w:lineRule="exact"/>
              <w:jc w:val="left"/>
              <w:rPr>
                <w:color w:val="000000" w:themeColor="text1"/>
                <w:kern w:val="0"/>
                <w:szCs w:val="21"/>
              </w:rPr>
            </w:pPr>
            <w:r>
              <w:rPr>
                <w:color w:val="000000" w:themeColor="text1"/>
                <w:szCs w:val="21"/>
              </w:rPr>
              <w:t>取水单位未经批准取水或者未依照批准的取水许可规定条件取水</w:t>
            </w:r>
          </w:p>
        </w:tc>
        <w:tc>
          <w:tcPr>
            <w:tcW w:w="5812" w:type="dxa"/>
            <w:noWrap/>
            <w:tcMar>
              <w:left w:w="108" w:type="dxa"/>
              <w:right w:w="108" w:type="dxa"/>
            </w:tcMar>
            <w:vAlign w:val="center"/>
          </w:tcPr>
          <w:p w:rsidR="00EE0505" w:rsidRDefault="00EE0505" w:rsidP="0007422E">
            <w:pPr>
              <w:widowControl/>
              <w:spacing w:afterLines="50" w:after="156" w:line="320" w:lineRule="exact"/>
              <w:jc w:val="left"/>
              <w:rPr>
                <w:color w:val="000000" w:themeColor="text1"/>
                <w:szCs w:val="21"/>
              </w:rPr>
            </w:pPr>
            <w:r>
              <w:rPr>
                <w:bCs/>
                <w:color w:val="000000" w:themeColor="text1"/>
                <w:kern w:val="0"/>
                <w:szCs w:val="21"/>
              </w:rPr>
              <w:t>【</w:t>
            </w:r>
            <w:r>
              <w:rPr>
                <w:color w:val="000000" w:themeColor="text1"/>
                <w:szCs w:val="21"/>
              </w:rPr>
              <w:t>法律法规】《取水许可和水资源费征收管理条例》第</w:t>
            </w:r>
            <w:r>
              <w:rPr>
                <w:rFonts w:hint="eastAsia"/>
                <w:color w:val="000000" w:themeColor="text1"/>
                <w:szCs w:val="21"/>
              </w:rPr>
              <w:t>二</w:t>
            </w:r>
            <w:r>
              <w:rPr>
                <w:color w:val="000000" w:themeColor="text1"/>
                <w:szCs w:val="21"/>
              </w:rPr>
              <w:t>条第</w:t>
            </w:r>
            <w:r>
              <w:rPr>
                <w:rFonts w:hint="eastAsia"/>
                <w:color w:val="000000" w:themeColor="text1"/>
                <w:szCs w:val="21"/>
              </w:rPr>
              <w:t>二</w:t>
            </w:r>
            <w:r>
              <w:rPr>
                <w:color w:val="000000" w:themeColor="text1"/>
                <w:szCs w:val="21"/>
              </w:rPr>
              <w:t>款：</w:t>
            </w:r>
            <w:r>
              <w:rPr>
                <w:color w:val="000000" w:themeColor="text1"/>
                <w:szCs w:val="21"/>
              </w:rPr>
              <w:t>“</w:t>
            </w:r>
            <w:r>
              <w:rPr>
                <w:color w:val="000000" w:themeColor="text1"/>
                <w:szCs w:val="21"/>
              </w:rPr>
              <w:t>取用水资源的单位和个人，除本条例第四条规定的情形外，都应当申请领取取水许可证，并缴纳水资源费。</w:t>
            </w:r>
            <w:r>
              <w:rPr>
                <w:color w:val="000000" w:themeColor="text1"/>
                <w:szCs w:val="21"/>
              </w:rPr>
              <w:t>”</w:t>
            </w:r>
          </w:p>
          <w:p w:rsidR="00EE0505" w:rsidRDefault="00EE0505" w:rsidP="00B57CFA">
            <w:pPr>
              <w:widowControl/>
              <w:spacing w:after="225" w:line="320" w:lineRule="exact"/>
              <w:jc w:val="left"/>
              <w:rPr>
                <w:color w:val="000000" w:themeColor="text1"/>
                <w:szCs w:val="21"/>
              </w:rPr>
            </w:pPr>
            <w:r>
              <w:rPr>
                <w:color w:val="000000" w:themeColor="text1"/>
                <w:szCs w:val="21"/>
              </w:rPr>
              <w:t>【违法责任】《水法》第六十九条：</w:t>
            </w:r>
            <w:r>
              <w:rPr>
                <w:color w:val="000000" w:themeColor="text1"/>
                <w:szCs w:val="21"/>
              </w:rPr>
              <w:t>“</w:t>
            </w:r>
            <w:r>
              <w:rPr>
                <w:color w:val="000000" w:themeColor="text1"/>
                <w:szCs w:val="21"/>
              </w:rPr>
              <w:t>有下列行为之一的，由县级以上人民政府水行政主管部门或者流域管理机构依据职权，责令停止违法行为，限期采取补救措施，处二万元以上十万元以下的罚款；情节严重的，吊销其取水许可证：</w:t>
            </w:r>
            <w:r>
              <w:rPr>
                <w:color w:val="000000" w:themeColor="text1"/>
                <w:szCs w:val="21"/>
              </w:rPr>
              <w:t>(</w:t>
            </w:r>
            <w:proofErr w:type="gramStart"/>
            <w:r>
              <w:rPr>
                <w:color w:val="000000" w:themeColor="text1"/>
                <w:szCs w:val="21"/>
              </w:rPr>
              <w:t>一</w:t>
            </w:r>
            <w:proofErr w:type="gramEnd"/>
            <w:r>
              <w:rPr>
                <w:color w:val="000000" w:themeColor="text1"/>
                <w:szCs w:val="21"/>
              </w:rPr>
              <w:t>)</w:t>
            </w:r>
            <w:r>
              <w:rPr>
                <w:color w:val="000000" w:themeColor="text1"/>
                <w:szCs w:val="21"/>
              </w:rPr>
              <w:t>未经批准擅自取水的；</w:t>
            </w:r>
            <w:r>
              <w:rPr>
                <w:color w:val="000000" w:themeColor="text1"/>
                <w:szCs w:val="21"/>
              </w:rPr>
              <w:t>(</w:t>
            </w:r>
            <w:r>
              <w:rPr>
                <w:color w:val="000000" w:themeColor="text1"/>
                <w:szCs w:val="21"/>
              </w:rPr>
              <w:t>二</w:t>
            </w:r>
            <w:r>
              <w:rPr>
                <w:color w:val="000000" w:themeColor="text1"/>
                <w:szCs w:val="21"/>
              </w:rPr>
              <w:t>)</w:t>
            </w:r>
            <w:r>
              <w:rPr>
                <w:color w:val="000000" w:themeColor="text1"/>
                <w:szCs w:val="21"/>
              </w:rPr>
              <w:t>未依照批准的取水许可规定条件取水的。</w:t>
            </w:r>
            <w:r>
              <w:rPr>
                <w:color w:val="000000" w:themeColor="text1"/>
                <w:szCs w:val="21"/>
              </w:rPr>
              <w:t>”</w:t>
            </w:r>
          </w:p>
        </w:tc>
        <w:tc>
          <w:tcPr>
            <w:tcW w:w="1276" w:type="dxa"/>
            <w:noWrap/>
            <w:tcMar>
              <w:left w:w="108" w:type="dxa"/>
              <w:right w:w="108" w:type="dxa"/>
            </w:tcMar>
            <w:vAlign w:val="center"/>
          </w:tcPr>
          <w:p w:rsidR="00EE0505" w:rsidRDefault="00EE0505" w:rsidP="00B57CFA">
            <w:pPr>
              <w:widowControl/>
              <w:spacing w:after="225" w:line="320" w:lineRule="exact"/>
              <w:jc w:val="center"/>
              <w:rPr>
                <w:color w:val="000000" w:themeColor="text1"/>
                <w:kern w:val="0"/>
                <w:szCs w:val="21"/>
              </w:rPr>
            </w:pPr>
            <w:r>
              <w:rPr>
                <w:rFonts w:ascii="宋体" w:cs="宋体" w:hint="eastAsia"/>
                <w:color w:val="000000" w:themeColor="text1"/>
                <w:kern w:val="0"/>
                <w:szCs w:val="21"/>
              </w:rPr>
              <w:t>★</w:t>
            </w:r>
          </w:p>
        </w:tc>
        <w:tc>
          <w:tcPr>
            <w:tcW w:w="2410" w:type="dxa"/>
            <w:noWrap/>
            <w:tcMar>
              <w:left w:w="108" w:type="dxa"/>
              <w:right w:w="108" w:type="dxa"/>
            </w:tcMar>
            <w:vAlign w:val="center"/>
          </w:tcPr>
          <w:p w:rsidR="00EE0505" w:rsidRDefault="00EE0505" w:rsidP="00B57CFA">
            <w:pPr>
              <w:widowControl/>
              <w:spacing w:after="225" w:line="320" w:lineRule="exact"/>
              <w:rPr>
                <w:color w:val="000000" w:themeColor="text1"/>
                <w:kern w:val="0"/>
                <w:szCs w:val="21"/>
              </w:rPr>
            </w:pPr>
            <w:r>
              <w:rPr>
                <w:rFonts w:hint="eastAsia"/>
                <w:color w:val="000000" w:themeColor="text1"/>
                <w:szCs w:val="21"/>
              </w:rPr>
              <w:t>取水单位</w:t>
            </w:r>
            <w:r>
              <w:rPr>
                <w:color w:val="000000" w:themeColor="text1"/>
                <w:szCs w:val="21"/>
              </w:rPr>
              <w:t>取水工</w:t>
            </w:r>
            <w:proofErr w:type="gramStart"/>
            <w:r>
              <w:rPr>
                <w:color w:val="000000" w:themeColor="text1"/>
                <w:szCs w:val="21"/>
              </w:rPr>
              <w:t>程或者</w:t>
            </w:r>
            <w:proofErr w:type="gramEnd"/>
            <w:r>
              <w:rPr>
                <w:color w:val="000000" w:themeColor="text1"/>
                <w:szCs w:val="21"/>
              </w:rPr>
              <w:t>设施</w:t>
            </w:r>
            <w:r>
              <w:rPr>
                <w:color w:val="000000" w:themeColor="text1"/>
                <w:kern w:val="0"/>
                <w:szCs w:val="21"/>
              </w:rPr>
              <w:t>，</w:t>
            </w:r>
            <w:r>
              <w:rPr>
                <w:rFonts w:hint="eastAsia"/>
                <w:color w:val="000000" w:themeColor="text1"/>
                <w:kern w:val="0"/>
                <w:szCs w:val="21"/>
              </w:rPr>
              <w:t>经验收合格，并领取</w:t>
            </w:r>
            <w:r>
              <w:rPr>
                <w:color w:val="000000" w:themeColor="text1"/>
                <w:kern w:val="0"/>
                <w:szCs w:val="21"/>
              </w:rPr>
              <w:t>取水许可证</w:t>
            </w:r>
            <w:r>
              <w:rPr>
                <w:rFonts w:hint="eastAsia"/>
                <w:color w:val="000000" w:themeColor="text1"/>
                <w:kern w:val="0"/>
                <w:szCs w:val="21"/>
              </w:rPr>
              <w:t>后，方可正式取水运行</w:t>
            </w:r>
            <w:r>
              <w:rPr>
                <w:color w:val="000000" w:themeColor="text1"/>
                <w:kern w:val="0"/>
                <w:szCs w:val="21"/>
              </w:rPr>
              <w:t>。</w:t>
            </w:r>
          </w:p>
        </w:tc>
        <w:tc>
          <w:tcPr>
            <w:tcW w:w="1266" w:type="dxa"/>
            <w:noWrap/>
            <w:tcMar>
              <w:left w:w="108" w:type="dxa"/>
              <w:right w:w="108" w:type="dxa"/>
            </w:tcMar>
            <w:vAlign w:val="center"/>
          </w:tcPr>
          <w:p w:rsidR="00EE0505" w:rsidRDefault="00A414BD" w:rsidP="00B57CFA">
            <w:pPr>
              <w:widowControl/>
              <w:spacing w:after="225" w:line="320" w:lineRule="exact"/>
              <w:jc w:val="left"/>
              <w:rPr>
                <w:color w:val="000000" w:themeColor="text1"/>
                <w:szCs w:val="21"/>
              </w:rPr>
            </w:pPr>
            <w:r>
              <w:rPr>
                <w:rFonts w:hint="eastAsia"/>
                <w:szCs w:val="21"/>
              </w:rPr>
              <w:t>无锡</w:t>
            </w:r>
            <w:r w:rsidR="00EE0505">
              <w:rPr>
                <w:color w:val="000000" w:themeColor="text1"/>
                <w:szCs w:val="21"/>
              </w:rPr>
              <w:t>市水利局水资源处</w:t>
            </w:r>
            <w:r w:rsidR="00EE0505">
              <w:rPr>
                <w:rFonts w:hint="eastAsia"/>
                <w:color w:val="000000" w:themeColor="text1"/>
                <w:szCs w:val="21"/>
              </w:rPr>
              <w:t>80109075</w:t>
            </w:r>
          </w:p>
        </w:tc>
      </w:tr>
      <w:tr w:rsidR="00EE0505" w:rsidTr="00B57CFA">
        <w:trPr>
          <w:trHeight w:val="2380"/>
          <w:jc w:val="center"/>
        </w:trPr>
        <w:tc>
          <w:tcPr>
            <w:tcW w:w="699" w:type="dxa"/>
            <w:noWrap/>
            <w:tcMar>
              <w:left w:w="108" w:type="dxa"/>
              <w:right w:w="108" w:type="dxa"/>
            </w:tcMar>
            <w:vAlign w:val="center"/>
          </w:tcPr>
          <w:p w:rsidR="00EE0505" w:rsidRDefault="00EE0505" w:rsidP="00B57CFA">
            <w:pPr>
              <w:widowControl/>
              <w:spacing w:after="100" w:afterAutospacing="1" w:line="320" w:lineRule="exact"/>
              <w:jc w:val="center"/>
              <w:rPr>
                <w:color w:val="000000" w:themeColor="text1"/>
                <w:kern w:val="0"/>
                <w:szCs w:val="21"/>
              </w:rPr>
            </w:pPr>
            <w:r>
              <w:rPr>
                <w:rFonts w:eastAsia="MS Mincho"/>
                <w:color w:val="000000" w:themeColor="text1"/>
                <w:kern w:val="0"/>
                <w:szCs w:val="21"/>
              </w:rPr>
              <w:t> </w:t>
            </w:r>
            <w:r>
              <w:rPr>
                <w:rFonts w:hint="eastAsia"/>
                <w:color w:val="000000" w:themeColor="text1"/>
                <w:kern w:val="0"/>
                <w:szCs w:val="21"/>
              </w:rPr>
              <w:t>2</w:t>
            </w:r>
          </w:p>
        </w:tc>
        <w:tc>
          <w:tcPr>
            <w:tcW w:w="1275" w:type="dxa"/>
            <w:noWrap/>
            <w:tcMar>
              <w:left w:w="108" w:type="dxa"/>
              <w:right w:w="108" w:type="dxa"/>
            </w:tcMar>
            <w:vAlign w:val="center"/>
          </w:tcPr>
          <w:p w:rsidR="00EE0505" w:rsidRDefault="00EE0505" w:rsidP="00B57CFA">
            <w:pPr>
              <w:widowControl/>
              <w:spacing w:after="225" w:line="320" w:lineRule="exact"/>
              <w:jc w:val="center"/>
              <w:rPr>
                <w:color w:val="000000" w:themeColor="text1"/>
                <w:szCs w:val="21"/>
              </w:rPr>
            </w:pPr>
            <w:r>
              <w:rPr>
                <w:rFonts w:hint="eastAsia"/>
                <w:color w:val="000000" w:themeColor="text1"/>
                <w:szCs w:val="21"/>
              </w:rPr>
              <w:t>取水</w:t>
            </w:r>
            <w:r>
              <w:rPr>
                <w:color w:val="000000" w:themeColor="text1"/>
                <w:szCs w:val="21"/>
              </w:rPr>
              <w:t>单位兴建取水工</w:t>
            </w:r>
            <w:proofErr w:type="gramStart"/>
            <w:r>
              <w:rPr>
                <w:color w:val="000000" w:themeColor="text1"/>
                <w:szCs w:val="21"/>
              </w:rPr>
              <w:t>程或者</w:t>
            </w:r>
            <w:proofErr w:type="gramEnd"/>
            <w:r>
              <w:rPr>
                <w:color w:val="000000" w:themeColor="text1"/>
                <w:szCs w:val="21"/>
              </w:rPr>
              <w:t>设施应取得取水许可</w:t>
            </w:r>
          </w:p>
        </w:tc>
        <w:tc>
          <w:tcPr>
            <w:tcW w:w="1702" w:type="dxa"/>
            <w:noWrap/>
            <w:tcMar>
              <w:left w:w="108" w:type="dxa"/>
              <w:right w:w="108" w:type="dxa"/>
            </w:tcMar>
            <w:vAlign w:val="center"/>
          </w:tcPr>
          <w:p w:rsidR="00EE0505" w:rsidRDefault="00EE0505" w:rsidP="00B57CFA">
            <w:pPr>
              <w:widowControl/>
              <w:spacing w:after="225" w:line="320" w:lineRule="exact"/>
              <w:jc w:val="left"/>
              <w:rPr>
                <w:color w:val="000000" w:themeColor="text1"/>
                <w:szCs w:val="21"/>
              </w:rPr>
            </w:pPr>
            <w:r>
              <w:rPr>
                <w:color w:val="000000" w:themeColor="text1"/>
                <w:szCs w:val="21"/>
              </w:rPr>
              <w:t>未取得取水申请批准文件擅自建设取水工</w:t>
            </w:r>
            <w:proofErr w:type="gramStart"/>
            <w:r>
              <w:rPr>
                <w:color w:val="000000" w:themeColor="text1"/>
                <w:szCs w:val="21"/>
              </w:rPr>
              <w:t>程或者</w:t>
            </w:r>
            <w:proofErr w:type="gramEnd"/>
            <w:r>
              <w:rPr>
                <w:color w:val="000000" w:themeColor="text1"/>
                <w:szCs w:val="21"/>
              </w:rPr>
              <w:t>设施</w:t>
            </w:r>
          </w:p>
        </w:tc>
        <w:tc>
          <w:tcPr>
            <w:tcW w:w="5812" w:type="dxa"/>
            <w:noWrap/>
            <w:tcMar>
              <w:left w:w="108" w:type="dxa"/>
              <w:right w:w="108" w:type="dxa"/>
            </w:tcMar>
            <w:vAlign w:val="center"/>
          </w:tcPr>
          <w:p w:rsidR="00EE0505" w:rsidRDefault="00EE0505" w:rsidP="00B57CFA">
            <w:pPr>
              <w:pStyle w:val="a3"/>
              <w:spacing w:line="320" w:lineRule="exact"/>
              <w:rPr>
                <w:color w:val="000000" w:themeColor="text1"/>
                <w:szCs w:val="21"/>
              </w:rPr>
            </w:pPr>
            <w:r>
              <w:rPr>
                <w:rFonts w:hint="eastAsia"/>
                <w:color w:val="000000" w:themeColor="text1"/>
                <w:szCs w:val="21"/>
              </w:rPr>
              <w:t>【法律法规】</w:t>
            </w:r>
            <w:r>
              <w:rPr>
                <w:color w:val="000000" w:themeColor="text1"/>
                <w:szCs w:val="21"/>
              </w:rPr>
              <w:t>《取水许可和水资源费征收管理条例》第二十一条</w:t>
            </w:r>
            <w:r>
              <w:rPr>
                <w:rFonts w:hint="eastAsia"/>
                <w:color w:val="000000" w:themeColor="text1"/>
                <w:szCs w:val="21"/>
              </w:rPr>
              <w:t>：“取水申请经审批机关批准，申请人方可兴建取水工程或者设施。”</w:t>
            </w:r>
          </w:p>
          <w:p w:rsidR="00EE0505" w:rsidRDefault="00EE0505" w:rsidP="00B57CFA">
            <w:pPr>
              <w:pStyle w:val="a3"/>
              <w:spacing w:line="320" w:lineRule="exact"/>
              <w:rPr>
                <w:color w:val="000000" w:themeColor="text1"/>
                <w:szCs w:val="21"/>
              </w:rPr>
            </w:pPr>
            <w:r>
              <w:rPr>
                <w:color w:val="000000" w:themeColor="text1"/>
                <w:szCs w:val="21"/>
              </w:rPr>
              <w:t>【违法责任】《取水许可和水资源费征收管理条例》第四十九条：</w:t>
            </w:r>
            <w:r>
              <w:rPr>
                <w:color w:val="000000" w:themeColor="text1"/>
                <w:szCs w:val="21"/>
              </w:rPr>
              <w:t>“</w:t>
            </w:r>
            <w:r>
              <w:rPr>
                <w:color w:val="000000" w:themeColor="text1"/>
                <w:szCs w:val="21"/>
              </w:rPr>
              <w:t>未取得取水申请批准文件擅自建设取水工程或者设施的，责令停止违法行为，限期补办有关手续；逾期</w:t>
            </w:r>
            <w:proofErr w:type="gramStart"/>
            <w:r>
              <w:rPr>
                <w:color w:val="000000" w:themeColor="text1"/>
                <w:szCs w:val="21"/>
              </w:rPr>
              <w:t>不</w:t>
            </w:r>
            <w:proofErr w:type="gramEnd"/>
            <w:r>
              <w:rPr>
                <w:color w:val="000000" w:themeColor="text1"/>
                <w:szCs w:val="21"/>
              </w:rPr>
              <w:t>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w:t>
            </w:r>
            <w:r>
              <w:rPr>
                <w:color w:val="000000" w:themeColor="text1"/>
                <w:szCs w:val="21"/>
              </w:rPr>
              <w:t>5</w:t>
            </w:r>
            <w:r>
              <w:rPr>
                <w:color w:val="000000" w:themeColor="text1"/>
                <w:szCs w:val="21"/>
              </w:rPr>
              <w:t>万元以下罚款。</w:t>
            </w:r>
            <w:r>
              <w:rPr>
                <w:color w:val="000000" w:themeColor="text1"/>
                <w:szCs w:val="21"/>
              </w:rPr>
              <w:t>”</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color w:val="000000" w:themeColor="text1"/>
                <w:kern w:val="0"/>
                <w:szCs w:val="21"/>
              </w:rPr>
            </w:pPr>
            <w:r>
              <w:rPr>
                <w:rFonts w:ascii="宋体" w:cs="宋体" w:hint="eastAsia"/>
                <w:color w:val="000000" w:themeColor="text1"/>
                <w:kern w:val="0"/>
                <w:szCs w:val="21"/>
              </w:rPr>
              <w:t>★</w:t>
            </w:r>
          </w:p>
        </w:tc>
        <w:tc>
          <w:tcPr>
            <w:tcW w:w="2410" w:type="dxa"/>
            <w:noWrap/>
            <w:tcMar>
              <w:left w:w="108" w:type="dxa"/>
              <w:right w:w="108" w:type="dxa"/>
            </w:tcMar>
            <w:vAlign w:val="center"/>
          </w:tcPr>
          <w:p w:rsidR="00EE0505" w:rsidRDefault="00EE0505" w:rsidP="00B57CFA">
            <w:pPr>
              <w:widowControl/>
              <w:spacing w:after="225" w:line="320" w:lineRule="exact"/>
              <w:rPr>
                <w:color w:val="000000" w:themeColor="text1"/>
                <w:kern w:val="0"/>
                <w:szCs w:val="21"/>
              </w:rPr>
            </w:pPr>
            <w:r>
              <w:rPr>
                <w:color w:val="000000" w:themeColor="text1"/>
                <w:kern w:val="0"/>
                <w:szCs w:val="21"/>
              </w:rPr>
              <w:t>取水单位取水申请</w:t>
            </w:r>
            <w:r>
              <w:rPr>
                <w:rFonts w:hint="eastAsia"/>
                <w:color w:val="000000" w:themeColor="text1"/>
                <w:kern w:val="0"/>
                <w:szCs w:val="21"/>
              </w:rPr>
              <w:t>经审批机关批准后，按照行政许可文件要求建设</w:t>
            </w:r>
            <w:r>
              <w:rPr>
                <w:color w:val="000000" w:themeColor="text1"/>
                <w:szCs w:val="21"/>
              </w:rPr>
              <w:t>取水工</w:t>
            </w:r>
            <w:proofErr w:type="gramStart"/>
            <w:r>
              <w:rPr>
                <w:color w:val="000000" w:themeColor="text1"/>
                <w:szCs w:val="21"/>
              </w:rPr>
              <w:t>程或者</w:t>
            </w:r>
            <w:proofErr w:type="gramEnd"/>
            <w:r>
              <w:rPr>
                <w:color w:val="000000" w:themeColor="text1"/>
                <w:szCs w:val="21"/>
              </w:rPr>
              <w:t>设施。</w:t>
            </w:r>
          </w:p>
        </w:tc>
        <w:tc>
          <w:tcPr>
            <w:tcW w:w="1266" w:type="dxa"/>
            <w:noWrap/>
            <w:tcMar>
              <w:left w:w="108" w:type="dxa"/>
              <w:right w:w="108" w:type="dxa"/>
            </w:tcMar>
            <w:vAlign w:val="center"/>
          </w:tcPr>
          <w:p w:rsidR="00EE0505" w:rsidRDefault="00A414BD" w:rsidP="00B57CFA">
            <w:pPr>
              <w:widowControl/>
              <w:spacing w:after="225" w:line="320" w:lineRule="exact"/>
              <w:jc w:val="left"/>
              <w:rPr>
                <w:color w:val="000000" w:themeColor="text1"/>
                <w:szCs w:val="21"/>
              </w:rPr>
            </w:pPr>
            <w:r>
              <w:rPr>
                <w:rFonts w:hint="eastAsia"/>
                <w:szCs w:val="21"/>
              </w:rPr>
              <w:t>无锡</w:t>
            </w:r>
            <w:r w:rsidR="00EE0505">
              <w:rPr>
                <w:color w:val="000000" w:themeColor="text1"/>
                <w:szCs w:val="21"/>
              </w:rPr>
              <w:t>市水利局水资源处</w:t>
            </w:r>
            <w:r w:rsidR="00EE0505">
              <w:rPr>
                <w:rFonts w:hint="eastAsia"/>
                <w:color w:val="000000" w:themeColor="text1"/>
                <w:szCs w:val="21"/>
              </w:rPr>
              <w:t>80109075</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rFonts w:hint="eastAsia"/>
                <w:kern w:val="0"/>
                <w:szCs w:val="21"/>
              </w:rPr>
              <w:lastRenderedPageBreak/>
              <w:t>3</w:t>
            </w:r>
          </w:p>
        </w:tc>
        <w:tc>
          <w:tcPr>
            <w:tcW w:w="1275"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kern w:val="0"/>
                <w:szCs w:val="21"/>
              </w:rPr>
              <w:t>取水单位按期足额缴纳水资源费</w:t>
            </w:r>
          </w:p>
        </w:tc>
        <w:tc>
          <w:tcPr>
            <w:tcW w:w="1702" w:type="dxa"/>
            <w:noWrap/>
            <w:tcMar>
              <w:left w:w="108" w:type="dxa"/>
              <w:right w:w="108" w:type="dxa"/>
            </w:tcMar>
            <w:vAlign w:val="center"/>
          </w:tcPr>
          <w:p w:rsidR="00EE0505" w:rsidRDefault="00EE0505" w:rsidP="00B57CFA">
            <w:pPr>
              <w:widowControl/>
              <w:spacing w:after="225" w:line="320" w:lineRule="exact"/>
              <w:rPr>
                <w:kern w:val="0"/>
                <w:szCs w:val="21"/>
              </w:rPr>
            </w:pPr>
            <w:r>
              <w:rPr>
                <w:kern w:val="0"/>
                <w:szCs w:val="21"/>
              </w:rPr>
              <w:t>取水单位拒不缴纳、拖延缴纳或者拖欠水资源费</w:t>
            </w:r>
          </w:p>
        </w:tc>
        <w:tc>
          <w:tcPr>
            <w:tcW w:w="5812" w:type="dxa"/>
            <w:noWrap/>
            <w:tcMar>
              <w:left w:w="108" w:type="dxa"/>
              <w:right w:w="108" w:type="dxa"/>
            </w:tcMar>
            <w:vAlign w:val="center"/>
          </w:tcPr>
          <w:p w:rsidR="00EE0505" w:rsidRDefault="00EE0505" w:rsidP="00B57CFA">
            <w:pPr>
              <w:widowControl/>
              <w:spacing w:afterLines="50" w:after="156" w:line="320" w:lineRule="exact"/>
              <w:rPr>
                <w:kern w:val="0"/>
                <w:szCs w:val="21"/>
              </w:rPr>
            </w:pPr>
            <w:r>
              <w:rPr>
                <w:kern w:val="0"/>
                <w:szCs w:val="21"/>
              </w:rPr>
              <w:t>【法律法规】《取水许可和水资源费征收管理条例》第二十八条第一款：</w:t>
            </w:r>
            <w:r>
              <w:rPr>
                <w:kern w:val="0"/>
                <w:szCs w:val="21"/>
              </w:rPr>
              <w:t>“</w:t>
            </w:r>
            <w:r>
              <w:rPr>
                <w:kern w:val="0"/>
                <w:szCs w:val="21"/>
              </w:rPr>
              <w:t>取水单位或者个人应当缴纳水资源费。</w:t>
            </w:r>
            <w:r>
              <w:rPr>
                <w:kern w:val="0"/>
                <w:szCs w:val="21"/>
              </w:rPr>
              <w:t>”</w:t>
            </w:r>
            <w:r>
              <w:rPr>
                <w:kern w:val="0"/>
                <w:szCs w:val="21"/>
              </w:rPr>
              <w:t>第三十三条第一款：</w:t>
            </w:r>
            <w:r>
              <w:rPr>
                <w:kern w:val="0"/>
                <w:szCs w:val="21"/>
              </w:rPr>
              <w:t>“</w:t>
            </w:r>
            <w:r>
              <w:rPr>
                <w:kern w:val="0"/>
                <w:szCs w:val="21"/>
              </w:rPr>
              <w:t>取水审批机关确定水资源费缴纳数额后，应当向取水单位或者个人送达水资源费缴纳通知单，取水单位或者个人应当自收到缴纳通知单之日起</w:t>
            </w:r>
            <w:r>
              <w:rPr>
                <w:kern w:val="0"/>
                <w:szCs w:val="21"/>
              </w:rPr>
              <w:t>7</w:t>
            </w:r>
            <w:r>
              <w:rPr>
                <w:kern w:val="0"/>
                <w:szCs w:val="21"/>
              </w:rPr>
              <w:t>日内办理缴纳手续。</w:t>
            </w:r>
            <w:r>
              <w:rPr>
                <w:kern w:val="0"/>
                <w:szCs w:val="21"/>
              </w:rPr>
              <w:t>”</w:t>
            </w:r>
          </w:p>
          <w:p w:rsidR="00EE0505" w:rsidRDefault="00EE0505" w:rsidP="00B57CFA">
            <w:pPr>
              <w:widowControl/>
              <w:spacing w:line="320" w:lineRule="exact"/>
              <w:rPr>
                <w:kern w:val="0"/>
                <w:szCs w:val="21"/>
              </w:rPr>
            </w:pPr>
            <w:r>
              <w:rPr>
                <w:kern w:val="0"/>
                <w:szCs w:val="21"/>
              </w:rPr>
              <w:t>【违法责任】《水法》第七十条：</w:t>
            </w:r>
            <w:r>
              <w:rPr>
                <w:kern w:val="0"/>
                <w:szCs w:val="21"/>
              </w:rPr>
              <w:t>“</w:t>
            </w:r>
            <w:r>
              <w:rPr>
                <w:kern w:val="0"/>
                <w:szCs w:val="21"/>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kern w:val="0"/>
                <w:szCs w:val="21"/>
              </w:rPr>
              <w:t>”</w:t>
            </w:r>
          </w:p>
        </w:tc>
        <w:tc>
          <w:tcPr>
            <w:tcW w:w="1276"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rFonts w:ascii="宋体" w:cs="宋体" w:hint="eastAsia"/>
                <w:kern w:val="0"/>
                <w:szCs w:val="21"/>
              </w:rPr>
              <w:t>★</w:t>
            </w:r>
          </w:p>
        </w:tc>
        <w:tc>
          <w:tcPr>
            <w:tcW w:w="2410" w:type="dxa"/>
            <w:noWrap/>
            <w:tcMar>
              <w:left w:w="108" w:type="dxa"/>
              <w:right w:w="108" w:type="dxa"/>
            </w:tcMar>
            <w:vAlign w:val="center"/>
          </w:tcPr>
          <w:p w:rsidR="00EE0505" w:rsidRDefault="00EE0505" w:rsidP="00B57CFA">
            <w:pPr>
              <w:widowControl/>
              <w:spacing w:after="225" w:line="320" w:lineRule="exact"/>
              <w:jc w:val="left"/>
              <w:rPr>
                <w:kern w:val="0"/>
                <w:szCs w:val="21"/>
              </w:rPr>
            </w:pPr>
            <w:r>
              <w:rPr>
                <w:kern w:val="0"/>
                <w:szCs w:val="21"/>
              </w:rPr>
              <w:t>取水单位收到水资源费缴纳通知单后，按期足额缴纳水资源费。</w:t>
            </w:r>
          </w:p>
        </w:tc>
        <w:tc>
          <w:tcPr>
            <w:tcW w:w="1266" w:type="dxa"/>
            <w:noWrap/>
            <w:tcMar>
              <w:left w:w="108" w:type="dxa"/>
              <w:right w:w="108" w:type="dxa"/>
            </w:tcMar>
            <w:vAlign w:val="center"/>
          </w:tcPr>
          <w:p w:rsidR="00EE0505" w:rsidRDefault="00A414BD" w:rsidP="00B57CFA">
            <w:pPr>
              <w:widowControl/>
              <w:spacing w:after="225" w:line="320" w:lineRule="exact"/>
              <w:jc w:val="left"/>
              <w:rPr>
                <w:kern w:val="0"/>
                <w:szCs w:val="21"/>
              </w:rPr>
            </w:pPr>
            <w:r>
              <w:rPr>
                <w:rFonts w:hint="eastAsia"/>
                <w:szCs w:val="21"/>
              </w:rPr>
              <w:t>无锡</w:t>
            </w:r>
            <w:r w:rsidR="00EE0505">
              <w:rPr>
                <w:color w:val="000000" w:themeColor="text1"/>
                <w:szCs w:val="21"/>
              </w:rPr>
              <w:t>市水利局水资源处</w:t>
            </w:r>
            <w:r w:rsidR="00EE0505">
              <w:rPr>
                <w:rFonts w:hint="eastAsia"/>
                <w:color w:val="000000" w:themeColor="text1"/>
                <w:szCs w:val="21"/>
              </w:rPr>
              <w:t>80109075</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100" w:afterAutospacing="1" w:line="320" w:lineRule="exact"/>
              <w:jc w:val="center"/>
              <w:rPr>
                <w:kern w:val="0"/>
                <w:szCs w:val="21"/>
              </w:rPr>
            </w:pPr>
            <w:r>
              <w:rPr>
                <w:rFonts w:eastAsia="MS Mincho"/>
                <w:kern w:val="0"/>
                <w:szCs w:val="21"/>
              </w:rPr>
              <w:t> </w:t>
            </w:r>
            <w:r>
              <w:rPr>
                <w:kern w:val="0"/>
                <w:szCs w:val="21"/>
              </w:rPr>
              <w:t>4</w:t>
            </w:r>
          </w:p>
        </w:tc>
        <w:tc>
          <w:tcPr>
            <w:tcW w:w="1275"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rFonts w:hint="eastAsia"/>
                <w:kern w:val="0"/>
                <w:szCs w:val="21"/>
              </w:rPr>
              <w:t>生产</w:t>
            </w:r>
            <w:r>
              <w:rPr>
                <w:kern w:val="0"/>
                <w:szCs w:val="21"/>
              </w:rPr>
              <w:t>建设单位应在开工前获得水土保持方案许可</w:t>
            </w:r>
            <w:r>
              <w:rPr>
                <w:rFonts w:hint="eastAsia"/>
                <w:kern w:val="0"/>
                <w:szCs w:val="21"/>
              </w:rPr>
              <w:t>，且</w:t>
            </w:r>
            <w:r>
              <w:rPr>
                <w:kern w:val="0"/>
                <w:szCs w:val="21"/>
              </w:rPr>
              <w:t>水土保持设施验收合格</w:t>
            </w:r>
          </w:p>
        </w:tc>
        <w:tc>
          <w:tcPr>
            <w:tcW w:w="1702"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rFonts w:hint="eastAsia"/>
                <w:kern w:val="0"/>
                <w:szCs w:val="21"/>
              </w:rPr>
              <w:t>生产</w:t>
            </w:r>
            <w:r>
              <w:rPr>
                <w:kern w:val="0"/>
                <w:szCs w:val="21"/>
              </w:rPr>
              <w:t>建设单位</w:t>
            </w:r>
            <w:r>
              <w:rPr>
                <w:rFonts w:hint="eastAsia"/>
                <w:szCs w:val="21"/>
              </w:rPr>
              <w:t>未编制水土保持方案或者编制的水土保持方案未经批准而开工建设的，水土保持设施未经验收或者验收不合格的</w:t>
            </w:r>
          </w:p>
        </w:tc>
        <w:tc>
          <w:tcPr>
            <w:tcW w:w="5812" w:type="dxa"/>
            <w:noWrap/>
            <w:tcMar>
              <w:left w:w="108" w:type="dxa"/>
              <w:right w:w="108" w:type="dxa"/>
            </w:tcMar>
            <w:vAlign w:val="center"/>
          </w:tcPr>
          <w:p w:rsidR="00EE0505" w:rsidRDefault="00EE0505" w:rsidP="00B57CFA">
            <w:pPr>
              <w:widowControl/>
              <w:spacing w:after="225" w:line="320" w:lineRule="exact"/>
              <w:jc w:val="left"/>
              <w:rPr>
                <w:bCs/>
                <w:kern w:val="0"/>
                <w:szCs w:val="21"/>
              </w:rPr>
            </w:pPr>
            <w:r>
              <w:rPr>
                <w:bCs/>
                <w:kern w:val="0"/>
                <w:szCs w:val="21"/>
              </w:rPr>
              <w:t>【法律法规】《</w:t>
            </w:r>
            <w:r>
              <w:rPr>
                <w:rFonts w:hint="eastAsia"/>
                <w:bCs/>
                <w:kern w:val="0"/>
                <w:szCs w:val="21"/>
              </w:rPr>
              <w:t>水土</w:t>
            </w:r>
            <w:r>
              <w:rPr>
                <w:bCs/>
                <w:kern w:val="0"/>
                <w:szCs w:val="21"/>
              </w:rPr>
              <w:t>保持法》第二十五条第一款：</w:t>
            </w:r>
            <w:r>
              <w:rPr>
                <w:bCs/>
                <w:kern w:val="0"/>
                <w:szCs w:val="21"/>
              </w:rPr>
              <w:t>“</w:t>
            </w:r>
            <w:r>
              <w:rPr>
                <w:rFonts w:hint="eastAsia"/>
                <w:bCs/>
                <w:kern w:val="0"/>
                <w:szCs w:val="21"/>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bCs/>
                <w:kern w:val="0"/>
                <w:szCs w:val="21"/>
              </w:rPr>
              <w:t>”</w:t>
            </w:r>
            <w:r>
              <w:rPr>
                <w:bCs/>
                <w:kern w:val="0"/>
                <w:szCs w:val="21"/>
              </w:rPr>
              <w:t>第二十七条</w:t>
            </w:r>
            <w:r>
              <w:rPr>
                <w:rFonts w:hint="eastAsia"/>
                <w:bCs/>
                <w:kern w:val="0"/>
                <w:szCs w:val="21"/>
              </w:rPr>
              <w:t>：“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rsidR="00EE0505" w:rsidRDefault="00EE0505" w:rsidP="00B57CFA">
            <w:pPr>
              <w:pStyle w:val="a3"/>
              <w:spacing w:line="320" w:lineRule="exact"/>
              <w:rPr>
                <w:szCs w:val="21"/>
              </w:rPr>
            </w:pPr>
            <w:r>
              <w:rPr>
                <w:szCs w:val="21"/>
              </w:rPr>
              <w:t>【违法责任】《</w:t>
            </w:r>
            <w:r>
              <w:rPr>
                <w:rFonts w:hint="eastAsia"/>
                <w:szCs w:val="21"/>
              </w:rPr>
              <w:t>水土</w:t>
            </w:r>
            <w:r>
              <w:rPr>
                <w:szCs w:val="21"/>
              </w:rPr>
              <w:t>保持法》第</w:t>
            </w:r>
            <w:r>
              <w:rPr>
                <w:rFonts w:hint="eastAsia"/>
                <w:szCs w:val="21"/>
              </w:rPr>
              <w:t>五十三</w:t>
            </w:r>
            <w:r>
              <w:rPr>
                <w:szCs w:val="21"/>
              </w:rPr>
              <w:t>条第一款第一项：</w:t>
            </w:r>
            <w:r>
              <w:rPr>
                <w:szCs w:val="21"/>
              </w:rPr>
              <w:t>“</w:t>
            </w:r>
            <w:r>
              <w:rPr>
                <w:rFonts w:hint="eastAsia"/>
                <w:szCs w:val="21"/>
              </w:rPr>
              <w:t>违反本法规定，有下列行为之一的，由县级以上人民政府水行政主管部门责令停止违法行为，限期补办手续；逾期</w:t>
            </w:r>
            <w:proofErr w:type="gramStart"/>
            <w:r>
              <w:rPr>
                <w:rFonts w:hint="eastAsia"/>
                <w:szCs w:val="21"/>
              </w:rPr>
              <w:t>不</w:t>
            </w:r>
            <w:proofErr w:type="gramEnd"/>
            <w:r>
              <w:rPr>
                <w:rFonts w:hint="eastAsia"/>
                <w:szCs w:val="21"/>
              </w:rPr>
              <w:t>补办手续的，</w:t>
            </w:r>
            <w:r>
              <w:rPr>
                <w:rFonts w:hint="eastAsia"/>
                <w:szCs w:val="21"/>
              </w:rPr>
              <w:lastRenderedPageBreak/>
              <w:t>处五万元以上五十万元以下的罚款；对生产建设单位直接负责的主管人员和其他直接责任人员依法给予处分：</w:t>
            </w:r>
            <w:r>
              <w:rPr>
                <w:rFonts w:hint="eastAsia"/>
                <w:szCs w:val="21"/>
              </w:rPr>
              <w:t>(</w:t>
            </w:r>
            <w:proofErr w:type="gramStart"/>
            <w:r>
              <w:rPr>
                <w:rFonts w:hint="eastAsia"/>
                <w:szCs w:val="21"/>
              </w:rPr>
              <w:t>一</w:t>
            </w:r>
            <w:proofErr w:type="gramEnd"/>
            <w:r>
              <w:rPr>
                <w:rFonts w:hint="eastAsia"/>
                <w:szCs w:val="21"/>
              </w:rPr>
              <w:t>)</w:t>
            </w:r>
            <w:r>
              <w:rPr>
                <w:rFonts w:hint="eastAsia"/>
                <w:szCs w:val="21"/>
              </w:rPr>
              <w:t>依法应当编制水土保持方案的生产建设项目，未编制水土保持方案或者编制的水土保持方案未经批准而开工建设的；</w:t>
            </w:r>
            <w:r>
              <w:rPr>
                <w:szCs w:val="21"/>
              </w:rPr>
              <w:t>”</w:t>
            </w:r>
            <w:r>
              <w:rPr>
                <w:szCs w:val="21"/>
              </w:rPr>
              <w:t>第五十四条</w:t>
            </w:r>
            <w:r>
              <w:rPr>
                <w:rFonts w:hint="eastAsia"/>
                <w:szCs w:val="21"/>
              </w:rPr>
              <w:t>：“违反本法规定，水土保持设施未经验收或者验收不合格将生产建设项目投产使用的，由县级以上人民政府水行政主管部门责令停止生产或者使用，直至验收合格，并处五万元以上五十万元以下的罚款。”</w:t>
            </w:r>
          </w:p>
        </w:tc>
        <w:tc>
          <w:tcPr>
            <w:tcW w:w="1276"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生产</w:t>
            </w:r>
            <w:r>
              <w:rPr>
                <w:kern w:val="0"/>
                <w:szCs w:val="21"/>
              </w:rPr>
              <w:t>建设单位在项目开工前申请水土保持方案审批</w:t>
            </w:r>
            <w:r>
              <w:rPr>
                <w:rFonts w:hint="eastAsia"/>
                <w:kern w:val="0"/>
                <w:szCs w:val="21"/>
              </w:rPr>
              <w:t>，</w:t>
            </w:r>
            <w:r>
              <w:rPr>
                <w:kern w:val="0"/>
                <w:szCs w:val="21"/>
              </w:rPr>
              <w:t>并组织水土保持设施验收工作</w:t>
            </w:r>
            <w:r>
              <w:rPr>
                <w:rFonts w:hint="eastAsia"/>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t>无锡</w:t>
            </w:r>
            <w:r>
              <w:rPr>
                <w:szCs w:val="21"/>
              </w:rPr>
              <w:t>市水利局</w:t>
            </w:r>
            <w:r>
              <w:rPr>
                <w:rFonts w:hint="eastAsia"/>
                <w:szCs w:val="21"/>
              </w:rPr>
              <w:t>农村</w:t>
            </w:r>
            <w:r>
              <w:rPr>
                <w:szCs w:val="21"/>
              </w:rPr>
              <w:t>水利与水土保持处</w:t>
            </w:r>
            <w:r>
              <w:rPr>
                <w:rFonts w:hint="eastAsia"/>
                <w:szCs w:val="21"/>
              </w:rPr>
              <w:t>80109056</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100" w:afterAutospacing="1" w:line="320" w:lineRule="exact"/>
              <w:jc w:val="center"/>
              <w:rPr>
                <w:kern w:val="0"/>
                <w:szCs w:val="21"/>
              </w:rPr>
            </w:pPr>
            <w:r>
              <w:rPr>
                <w:rFonts w:eastAsia="MS Mincho"/>
                <w:kern w:val="0"/>
                <w:szCs w:val="21"/>
              </w:rPr>
              <w:t> </w:t>
            </w:r>
            <w:r>
              <w:rPr>
                <w:kern w:val="0"/>
                <w:szCs w:val="21"/>
              </w:rPr>
              <w:t>5</w:t>
            </w:r>
          </w:p>
        </w:tc>
        <w:tc>
          <w:tcPr>
            <w:tcW w:w="1275" w:type="dxa"/>
            <w:noWrap/>
            <w:tcMar>
              <w:left w:w="108" w:type="dxa"/>
              <w:right w:w="108" w:type="dxa"/>
            </w:tcMar>
            <w:vAlign w:val="center"/>
          </w:tcPr>
          <w:p w:rsidR="00EE0505" w:rsidRDefault="00EE0505" w:rsidP="00140619">
            <w:pPr>
              <w:widowControl/>
              <w:spacing w:after="225" w:line="320" w:lineRule="exact"/>
              <w:rPr>
                <w:kern w:val="0"/>
                <w:szCs w:val="21"/>
              </w:rPr>
            </w:pPr>
            <w:r>
              <w:rPr>
                <w:bCs/>
                <w:kern w:val="0"/>
                <w:szCs w:val="21"/>
              </w:rPr>
              <w:t>中标人应当按照合同约定履行义务，完成中标项目</w:t>
            </w:r>
          </w:p>
        </w:tc>
        <w:tc>
          <w:tcPr>
            <w:tcW w:w="1702" w:type="dxa"/>
            <w:noWrap/>
            <w:tcMar>
              <w:left w:w="108" w:type="dxa"/>
              <w:right w:w="108" w:type="dxa"/>
            </w:tcMar>
            <w:vAlign w:val="center"/>
          </w:tcPr>
          <w:p w:rsidR="00EE0505" w:rsidRDefault="00EE0505" w:rsidP="00B57CFA">
            <w:pPr>
              <w:widowControl/>
              <w:spacing w:after="225" w:line="320" w:lineRule="exact"/>
              <w:jc w:val="center"/>
              <w:rPr>
                <w:bCs/>
                <w:kern w:val="0"/>
                <w:szCs w:val="21"/>
              </w:rPr>
            </w:pPr>
            <w:r>
              <w:rPr>
                <w:bCs/>
                <w:kern w:val="0"/>
                <w:szCs w:val="21"/>
              </w:rPr>
              <w:t>中标人向他人转让中标项目</w:t>
            </w:r>
            <w:r>
              <w:rPr>
                <w:rFonts w:hint="eastAsia"/>
                <w:bCs/>
                <w:kern w:val="0"/>
                <w:szCs w:val="21"/>
              </w:rPr>
              <w:t>，</w:t>
            </w:r>
            <w:r>
              <w:rPr>
                <w:bCs/>
                <w:kern w:val="0"/>
                <w:szCs w:val="21"/>
              </w:rPr>
              <w:t>将中标项目肢解后分别向他人转让</w:t>
            </w:r>
            <w:r>
              <w:rPr>
                <w:rFonts w:hint="eastAsia"/>
                <w:bCs/>
                <w:kern w:val="0"/>
                <w:szCs w:val="21"/>
              </w:rPr>
              <w:t>，</w:t>
            </w:r>
            <w:r>
              <w:rPr>
                <w:bCs/>
                <w:kern w:val="0"/>
                <w:szCs w:val="21"/>
              </w:rPr>
              <w:t>将中标项目的主体、关键性工作分包给他人完成</w:t>
            </w:r>
            <w:r>
              <w:rPr>
                <w:rFonts w:hint="eastAsia"/>
                <w:bCs/>
                <w:kern w:val="0"/>
                <w:szCs w:val="21"/>
              </w:rPr>
              <w:t>，</w:t>
            </w:r>
            <w:r>
              <w:rPr>
                <w:bCs/>
                <w:kern w:val="0"/>
                <w:szCs w:val="21"/>
              </w:rPr>
              <w:t>接受分包的人</w:t>
            </w:r>
            <w:r>
              <w:rPr>
                <w:rFonts w:hint="eastAsia"/>
                <w:bCs/>
                <w:kern w:val="0"/>
                <w:szCs w:val="21"/>
              </w:rPr>
              <w:t>不</w:t>
            </w:r>
            <w:r>
              <w:rPr>
                <w:bCs/>
                <w:kern w:val="0"/>
                <w:szCs w:val="21"/>
              </w:rPr>
              <w:t>具备相应的资格条件，</w:t>
            </w:r>
            <w:r>
              <w:rPr>
                <w:rFonts w:hint="eastAsia"/>
                <w:bCs/>
                <w:kern w:val="0"/>
                <w:szCs w:val="21"/>
              </w:rPr>
              <w:t>分包单位</w:t>
            </w:r>
            <w:r>
              <w:rPr>
                <w:bCs/>
                <w:kern w:val="0"/>
                <w:szCs w:val="21"/>
              </w:rPr>
              <w:t>再次分包</w:t>
            </w:r>
          </w:p>
        </w:tc>
        <w:tc>
          <w:tcPr>
            <w:tcW w:w="5812" w:type="dxa"/>
            <w:noWrap/>
            <w:tcMar>
              <w:left w:w="108" w:type="dxa"/>
              <w:right w:w="108" w:type="dxa"/>
            </w:tcMar>
            <w:vAlign w:val="center"/>
          </w:tcPr>
          <w:p w:rsidR="00DA009E" w:rsidRDefault="00EE0505" w:rsidP="00B57CFA">
            <w:pPr>
              <w:widowControl/>
              <w:spacing w:afterLines="50" w:after="156" w:line="320" w:lineRule="exact"/>
              <w:rPr>
                <w:bCs/>
                <w:kern w:val="0"/>
                <w:szCs w:val="21"/>
              </w:rPr>
            </w:pPr>
            <w:r>
              <w:rPr>
                <w:rFonts w:hint="eastAsia"/>
                <w:bCs/>
                <w:kern w:val="0"/>
                <w:szCs w:val="21"/>
              </w:rPr>
              <w:t>【法律法规】《中华人民共和国招标投标法》</w:t>
            </w:r>
            <w:r>
              <w:rPr>
                <w:rFonts w:hint="eastAsia"/>
                <w:bCs/>
                <w:kern w:val="0"/>
                <w:szCs w:val="21"/>
              </w:rPr>
              <w:t xml:space="preserve"> </w:t>
            </w:r>
            <w:r>
              <w:rPr>
                <w:bCs/>
                <w:kern w:val="0"/>
                <w:szCs w:val="21"/>
              </w:rPr>
              <w:t>第四十八条</w:t>
            </w:r>
            <w:r>
              <w:rPr>
                <w:rFonts w:hint="eastAsia"/>
                <w:bCs/>
                <w:kern w:val="0"/>
                <w:szCs w:val="21"/>
              </w:rPr>
              <w:t>：</w:t>
            </w:r>
            <w:r>
              <w:rPr>
                <w:bCs/>
                <w:kern w:val="0"/>
                <w:szCs w:val="21"/>
              </w:rPr>
              <w:t>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rsidR="00EE0505" w:rsidRDefault="00EE0505" w:rsidP="00B57CFA">
            <w:pPr>
              <w:widowControl/>
              <w:spacing w:line="320" w:lineRule="exact"/>
              <w:rPr>
                <w:bCs/>
                <w:kern w:val="0"/>
                <w:szCs w:val="21"/>
              </w:rPr>
            </w:pPr>
            <w:r>
              <w:rPr>
                <w:rFonts w:hint="eastAsia"/>
                <w:bCs/>
                <w:kern w:val="0"/>
                <w:szCs w:val="21"/>
              </w:rPr>
              <w:t>【违法责任】《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Pr>
                <w:rFonts w:hint="eastAsia"/>
                <w:bCs/>
                <w:kern w:val="0"/>
                <w:szCs w:val="21"/>
              </w:rPr>
              <w:t>分之十</w:t>
            </w:r>
            <w:proofErr w:type="gramEnd"/>
            <w:r>
              <w:rPr>
                <w:rFonts w:hint="eastAsia"/>
                <w:bCs/>
                <w:kern w:val="0"/>
                <w:szCs w:val="21"/>
              </w:rPr>
              <w:t>以下的罚款；有违法所得的，并处没收违法所得；可以责令停业整顿；情节严重的，由工商行政管理机关吊销营业执照。</w:t>
            </w:r>
          </w:p>
        </w:tc>
        <w:tc>
          <w:tcPr>
            <w:tcW w:w="1276"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b/>
                <w:bCs/>
                <w:kern w:val="0"/>
                <w:szCs w:val="21"/>
              </w:rPr>
              <w:t> </w:t>
            </w:r>
            <w:r>
              <w:rPr>
                <w:rFonts w:ascii="宋体" w:cs="宋体" w:hint="eastAsia"/>
                <w:kern w:val="0"/>
                <w:szCs w:val="21"/>
              </w:rPr>
              <w:t>★★</w:t>
            </w:r>
          </w:p>
        </w:tc>
        <w:tc>
          <w:tcPr>
            <w:tcW w:w="2410" w:type="dxa"/>
            <w:noWrap/>
            <w:tcMar>
              <w:left w:w="108" w:type="dxa"/>
              <w:right w:w="108" w:type="dxa"/>
            </w:tcMar>
            <w:vAlign w:val="center"/>
          </w:tcPr>
          <w:p w:rsidR="00EE0505" w:rsidRDefault="00EE0505" w:rsidP="00B57CFA">
            <w:pPr>
              <w:widowControl/>
              <w:spacing w:after="225" w:line="320" w:lineRule="exact"/>
              <w:rPr>
                <w:kern w:val="0"/>
                <w:szCs w:val="21"/>
              </w:rPr>
            </w:pPr>
            <w:r>
              <w:rPr>
                <w:bCs/>
                <w:kern w:val="0"/>
                <w:szCs w:val="21"/>
              </w:rPr>
              <w:t>中标人</w:t>
            </w:r>
            <w:r>
              <w:rPr>
                <w:rFonts w:hint="eastAsia"/>
                <w:bCs/>
                <w:kern w:val="0"/>
                <w:szCs w:val="21"/>
              </w:rPr>
              <w:t>严格</w:t>
            </w:r>
            <w:r>
              <w:rPr>
                <w:bCs/>
                <w:kern w:val="0"/>
                <w:szCs w:val="21"/>
              </w:rPr>
              <w:t>按照合同约定履行义务，完成中标项目</w:t>
            </w:r>
            <w:r>
              <w:rPr>
                <w:rFonts w:hint="eastAsia"/>
                <w:bCs/>
                <w:kern w:val="0"/>
                <w:szCs w:val="21"/>
              </w:rPr>
              <w:t>。主体、关键工程不得分包。分包单位应具有相应资格条件，不得再次分包</w:t>
            </w:r>
            <w:r w:rsidR="00B57CFA">
              <w:rPr>
                <w:rFonts w:hint="eastAsia"/>
                <w:bCs/>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t>无锡市水利局基本建设与监督</w:t>
            </w:r>
            <w:r>
              <w:rPr>
                <w:szCs w:val="21"/>
              </w:rPr>
              <w:t>处</w:t>
            </w:r>
            <w:r>
              <w:rPr>
                <w:rFonts w:hint="eastAsia"/>
                <w:szCs w:val="21"/>
              </w:rPr>
              <w:t>80109049</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kern w:val="0"/>
                <w:szCs w:val="21"/>
              </w:rPr>
              <w:lastRenderedPageBreak/>
              <w:t>6</w:t>
            </w:r>
          </w:p>
        </w:tc>
        <w:tc>
          <w:tcPr>
            <w:tcW w:w="1275"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水利生产经营单位的主要负责人、其他负责人、安全生产管理人员应当严格履行规定的安全生产管理职责</w:t>
            </w:r>
          </w:p>
        </w:tc>
        <w:tc>
          <w:tcPr>
            <w:tcW w:w="1702"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水利生产经营单位的主要负责人、其他负责人、安全生产管理人员未履行规定的安全生产管理职责</w:t>
            </w:r>
          </w:p>
        </w:tc>
        <w:tc>
          <w:tcPr>
            <w:tcW w:w="5812" w:type="dxa"/>
            <w:noWrap/>
            <w:tcMar>
              <w:left w:w="108" w:type="dxa"/>
              <w:right w:w="108" w:type="dxa"/>
            </w:tcMar>
            <w:vAlign w:val="center"/>
          </w:tcPr>
          <w:p w:rsidR="00DA009E" w:rsidRDefault="00EE0505" w:rsidP="00B57CFA">
            <w:pPr>
              <w:widowControl/>
              <w:spacing w:afterLines="50" w:after="156" w:line="320" w:lineRule="exact"/>
              <w:rPr>
                <w:bCs/>
                <w:kern w:val="0"/>
                <w:szCs w:val="21"/>
              </w:rPr>
            </w:pPr>
            <w:r>
              <w:rPr>
                <w:rFonts w:hint="eastAsia"/>
                <w:bCs/>
                <w:kern w:val="0"/>
                <w:szCs w:val="21"/>
              </w:rPr>
              <w:t>【法律法规】《中华人民共和国安全生产法》</w:t>
            </w:r>
            <w:r>
              <w:rPr>
                <w:bCs/>
                <w:kern w:val="0"/>
                <w:szCs w:val="21"/>
              </w:rPr>
              <w:t>第二十一条</w:t>
            </w:r>
            <w:r>
              <w:rPr>
                <w:rFonts w:hint="eastAsia"/>
                <w:bCs/>
                <w:kern w:val="0"/>
                <w:szCs w:val="21"/>
              </w:rPr>
              <w:t>：</w:t>
            </w:r>
            <w:r>
              <w:rPr>
                <w:bCs/>
                <w:kern w:val="0"/>
                <w:szCs w:val="21"/>
              </w:rPr>
              <w:t xml:space="preserve">　生产经营单位的主要负责人对本单位安全生产工作负有下列职责</w:t>
            </w:r>
            <w:r>
              <w:rPr>
                <w:bCs/>
                <w:kern w:val="0"/>
                <w:szCs w:val="21"/>
              </w:rPr>
              <w:t>:</w:t>
            </w:r>
            <w:r>
              <w:rPr>
                <w:bCs/>
                <w:kern w:val="0"/>
                <w:szCs w:val="21"/>
              </w:rPr>
              <w:t>（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第二十五条</w:t>
            </w:r>
            <w:r>
              <w:rPr>
                <w:rFonts w:hint="eastAsia"/>
                <w:bCs/>
                <w:kern w:val="0"/>
                <w:szCs w:val="21"/>
              </w:rPr>
              <w:t>：</w:t>
            </w:r>
            <w:r>
              <w:rPr>
                <w:bCs/>
                <w:kern w:val="0"/>
                <w:szCs w:val="21"/>
              </w:rPr>
              <w:t>生产经营单位的安全生产管理机构以及安全生产管理人员履行下列职责</w:t>
            </w:r>
            <w:r>
              <w:rPr>
                <w:bCs/>
                <w:kern w:val="0"/>
                <w:szCs w:val="21"/>
              </w:rPr>
              <w:t>:</w:t>
            </w:r>
            <w:r>
              <w:rPr>
                <w:bCs/>
                <w:kern w:val="0"/>
                <w:szCs w:val="21"/>
              </w:rPr>
              <w:t>（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rsidR="00EE0505" w:rsidRDefault="00EE0505" w:rsidP="00B57CFA">
            <w:pPr>
              <w:widowControl/>
              <w:spacing w:line="320" w:lineRule="exact"/>
              <w:rPr>
                <w:bCs/>
                <w:kern w:val="0"/>
                <w:szCs w:val="21"/>
              </w:rPr>
            </w:pPr>
            <w:r>
              <w:rPr>
                <w:rFonts w:hint="eastAsia"/>
                <w:bCs/>
                <w:kern w:val="0"/>
                <w:szCs w:val="21"/>
              </w:rPr>
              <w:t>【违法责任】《中华人民共和国安全生产法》第九十一条：生产经营单位的主要负责人未履行本法规定的安全生产管理职责的，责令限期改正</w:t>
            </w:r>
            <w:r>
              <w:rPr>
                <w:rFonts w:hint="eastAsia"/>
                <w:bCs/>
                <w:kern w:val="0"/>
                <w:szCs w:val="21"/>
              </w:rPr>
              <w:t>;</w:t>
            </w:r>
            <w:r>
              <w:rPr>
                <w:rFonts w:hint="eastAsia"/>
                <w:bCs/>
                <w:kern w:val="0"/>
                <w:szCs w:val="21"/>
              </w:rPr>
              <w:t>逾期未改正的，处二万元以上五万元以下的罚款，责令生产经营单位停产停业整顿。生产经营单位的主</w:t>
            </w:r>
            <w:r>
              <w:rPr>
                <w:rFonts w:hint="eastAsia"/>
                <w:bCs/>
                <w:kern w:val="0"/>
                <w:szCs w:val="21"/>
              </w:rPr>
              <w:lastRenderedPageBreak/>
              <w:t>要负责人有前款违法行为，导致发生生产安全事故的，给予撤职处分</w:t>
            </w:r>
            <w:r>
              <w:rPr>
                <w:rFonts w:hint="eastAsia"/>
                <w:bCs/>
                <w:kern w:val="0"/>
                <w:szCs w:val="21"/>
              </w:rPr>
              <w:t>;</w:t>
            </w:r>
            <w:r>
              <w:rPr>
                <w:rFonts w:hint="eastAsia"/>
                <w:bCs/>
                <w:kern w:val="0"/>
                <w:szCs w:val="21"/>
              </w:rPr>
              <w:t>构成犯罪的，依照刑法有关规定追究刑事责任。生产经营单位的主要负责人依照前款规定受刑事处罚或者撤职处分的，自刑罚执行完毕或者受处分之日起，五年内不得担任任何生产经营单位的主要负责人</w:t>
            </w:r>
            <w:r>
              <w:rPr>
                <w:rFonts w:hint="eastAsia"/>
                <w:bCs/>
                <w:kern w:val="0"/>
                <w:szCs w:val="21"/>
              </w:rPr>
              <w:t>;</w:t>
            </w:r>
            <w:r>
              <w:rPr>
                <w:rFonts w:hint="eastAsia"/>
                <w:bCs/>
                <w:kern w:val="0"/>
                <w:szCs w:val="21"/>
              </w:rPr>
              <w:t>对重大、特别重大生产安全事故负有责任的，终身不得担任本行业生产经营单位的主要负责人。第九十二条：生产经营单位的主要负责人未履行本法规定的安全生产管理职责，导致发生生产安全事故的，由安全生产监督管理部门依照下列规定处以罚款：</w:t>
            </w:r>
            <w:r>
              <w:rPr>
                <w:rFonts w:hint="eastAsia"/>
                <w:bCs/>
                <w:kern w:val="0"/>
                <w:szCs w:val="21"/>
              </w:rPr>
              <w:t>(</w:t>
            </w:r>
            <w:proofErr w:type="gramStart"/>
            <w:r>
              <w:rPr>
                <w:rFonts w:hint="eastAsia"/>
                <w:bCs/>
                <w:kern w:val="0"/>
                <w:szCs w:val="21"/>
              </w:rPr>
              <w:t>一</w:t>
            </w:r>
            <w:proofErr w:type="gramEnd"/>
            <w:r>
              <w:rPr>
                <w:rFonts w:hint="eastAsia"/>
                <w:bCs/>
                <w:kern w:val="0"/>
                <w:szCs w:val="21"/>
              </w:rPr>
              <w:t>)</w:t>
            </w:r>
            <w:r>
              <w:rPr>
                <w:rFonts w:hint="eastAsia"/>
                <w:bCs/>
                <w:kern w:val="0"/>
                <w:szCs w:val="21"/>
              </w:rPr>
              <w:t>发生一般事故的，处上一年年收入百分之三十的罚款</w:t>
            </w:r>
            <w:r>
              <w:rPr>
                <w:rFonts w:hint="eastAsia"/>
                <w:bCs/>
                <w:kern w:val="0"/>
                <w:szCs w:val="21"/>
              </w:rPr>
              <w:t>;(</w:t>
            </w:r>
            <w:r>
              <w:rPr>
                <w:rFonts w:hint="eastAsia"/>
                <w:bCs/>
                <w:kern w:val="0"/>
                <w:szCs w:val="21"/>
              </w:rPr>
              <w:t>二</w:t>
            </w:r>
            <w:r>
              <w:rPr>
                <w:rFonts w:hint="eastAsia"/>
                <w:bCs/>
                <w:kern w:val="0"/>
                <w:szCs w:val="21"/>
              </w:rPr>
              <w:t>)</w:t>
            </w:r>
            <w:r>
              <w:rPr>
                <w:rFonts w:hint="eastAsia"/>
                <w:bCs/>
                <w:kern w:val="0"/>
                <w:szCs w:val="21"/>
              </w:rPr>
              <w:t>发生较大事故的，处上一年年收入百分之四十的罚款</w:t>
            </w:r>
            <w:r>
              <w:rPr>
                <w:rFonts w:hint="eastAsia"/>
                <w:bCs/>
                <w:kern w:val="0"/>
                <w:szCs w:val="21"/>
              </w:rPr>
              <w:t>;(</w:t>
            </w:r>
            <w:r>
              <w:rPr>
                <w:rFonts w:hint="eastAsia"/>
                <w:bCs/>
                <w:kern w:val="0"/>
                <w:szCs w:val="21"/>
              </w:rPr>
              <w:t>三</w:t>
            </w:r>
            <w:r>
              <w:rPr>
                <w:rFonts w:hint="eastAsia"/>
                <w:bCs/>
                <w:kern w:val="0"/>
                <w:szCs w:val="21"/>
              </w:rPr>
              <w:t>)</w:t>
            </w:r>
            <w:r>
              <w:rPr>
                <w:rFonts w:hint="eastAsia"/>
                <w:bCs/>
                <w:kern w:val="0"/>
                <w:szCs w:val="21"/>
              </w:rPr>
              <w:t>发生重大事故的，处上一年年收入百分之六十的罚款</w:t>
            </w:r>
            <w:r>
              <w:rPr>
                <w:rFonts w:hint="eastAsia"/>
                <w:bCs/>
                <w:kern w:val="0"/>
                <w:szCs w:val="21"/>
              </w:rPr>
              <w:t>;(</w:t>
            </w:r>
            <w:r>
              <w:rPr>
                <w:rFonts w:hint="eastAsia"/>
                <w:bCs/>
                <w:kern w:val="0"/>
                <w:szCs w:val="21"/>
              </w:rPr>
              <w:t>四</w:t>
            </w:r>
            <w:r>
              <w:rPr>
                <w:rFonts w:hint="eastAsia"/>
                <w:bCs/>
                <w:kern w:val="0"/>
                <w:szCs w:val="21"/>
              </w:rPr>
              <w:t>)</w:t>
            </w:r>
            <w:r>
              <w:rPr>
                <w:rFonts w:hint="eastAsia"/>
                <w:bCs/>
                <w:kern w:val="0"/>
                <w:szCs w:val="21"/>
              </w:rPr>
              <w:t>发生特别重大事故的，处上一年年收入百分之八十的罚款。第九十三条：生产经营单位的安全生产管理人员未履行本法规定的安全生产管理职责的，责令限期改正</w:t>
            </w:r>
            <w:r>
              <w:rPr>
                <w:rFonts w:hint="eastAsia"/>
                <w:bCs/>
                <w:kern w:val="0"/>
                <w:szCs w:val="21"/>
              </w:rPr>
              <w:t>;</w:t>
            </w:r>
            <w:r>
              <w:rPr>
                <w:rFonts w:hint="eastAsia"/>
                <w:bCs/>
                <w:kern w:val="0"/>
                <w:szCs w:val="21"/>
              </w:rPr>
              <w:t>导致发生生产安全事故的，暂停或者撤销其与安全生产有关的资格</w:t>
            </w:r>
            <w:r>
              <w:rPr>
                <w:rFonts w:hint="eastAsia"/>
                <w:bCs/>
                <w:kern w:val="0"/>
                <w:szCs w:val="21"/>
              </w:rPr>
              <w:t>;</w:t>
            </w:r>
            <w:r>
              <w:rPr>
                <w:rFonts w:hint="eastAsia"/>
                <w:bCs/>
                <w:kern w:val="0"/>
                <w:szCs w:val="21"/>
              </w:rPr>
              <w:t>构成犯罪的，依照刑法有关规定追究刑事责任。</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水利生产经营单位的主要负责人、其他负责人、安全生产管理人员应当严格履行规定的安全生产管理职责</w:t>
            </w:r>
            <w:r w:rsidR="00B57CFA">
              <w:rPr>
                <w:rFonts w:hint="eastAsia"/>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szCs w:val="21"/>
              </w:rPr>
              <w:t>无锡市水利局基本建设与监督</w:t>
            </w:r>
            <w:r>
              <w:rPr>
                <w:szCs w:val="21"/>
              </w:rPr>
              <w:t>处</w:t>
            </w:r>
            <w:r>
              <w:rPr>
                <w:rFonts w:hint="eastAsia"/>
                <w:szCs w:val="21"/>
              </w:rPr>
              <w:t>80109049</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kern w:val="0"/>
                <w:szCs w:val="21"/>
              </w:rPr>
              <w:t>7</w:t>
            </w:r>
          </w:p>
        </w:tc>
        <w:tc>
          <w:tcPr>
            <w:tcW w:w="1275"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bCs/>
                <w:kern w:val="0"/>
                <w:szCs w:val="21"/>
              </w:rPr>
              <w:t>招标代理机构不得泄露应当保密的与招标投标活动有关的情况和资料的，或者与招标人、投</w:t>
            </w:r>
            <w:r>
              <w:rPr>
                <w:rFonts w:hint="eastAsia"/>
                <w:bCs/>
                <w:kern w:val="0"/>
                <w:szCs w:val="21"/>
              </w:rPr>
              <w:lastRenderedPageBreak/>
              <w:t>标人串通损害国家利益</w:t>
            </w:r>
          </w:p>
        </w:tc>
        <w:tc>
          <w:tcPr>
            <w:tcW w:w="1702"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bCs/>
                <w:kern w:val="0"/>
                <w:szCs w:val="21"/>
              </w:rPr>
              <w:lastRenderedPageBreak/>
              <w:t>招标代理机构泄露应当保密的与招标投标活动有关的情况和资料</w:t>
            </w:r>
            <w:r w:rsidR="00140619">
              <w:rPr>
                <w:rFonts w:hint="eastAsia"/>
                <w:bCs/>
                <w:kern w:val="0"/>
                <w:szCs w:val="21"/>
              </w:rPr>
              <w:t>，或者与招标人、投标人串通损害国家利益</w:t>
            </w:r>
          </w:p>
        </w:tc>
        <w:tc>
          <w:tcPr>
            <w:tcW w:w="5812" w:type="dxa"/>
            <w:noWrap/>
            <w:tcMar>
              <w:left w:w="108" w:type="dxa"/>
              <w:right w:w="108" w:type="dxa"/>
            </w:tcMar>
            <w:vAlign w:val="center"/>
          </w:tcPr>
          <w:p w:rsidR="00EE0505" w:rsidRDefault="00EE0505" w:rsidP="00B57CFA">
            <w:pPr>
              <w:widowControl/>
              <w:spacing w:afterLines="50" w:after="156" w:line="320" w:lineRule="exact"/>
              <w:rPr>
                <w:bCs/>
                <w:kern w:val="0"/>
                <w:szCs w:val="21"/>
              </w:rPr>
            </w:pPr>
            <w:r>
              <w:rPr>
                <w:rFonts w:hint="eastAsia"/>
                <w:bCs/>
                <w:kern w:val="0"/>
                <w:szCs w:val="21"/>
              </w:rPr>
              <w:t>【法律法规】《中华人民共和国招标投标法》</w:t>
            </w:r>
            <w:r>
              <w:rPr>
                <w:bCs/>
                <w:kern w:val="0"/>
                <w:szCs w:val="21"/>
              </w:rPr>
              <w:t>第六条</w:t>
            </w:r>
            <w:r>
              <w:rPr>
                <w:rFonts w:hint="eastAsia"/>
                <w:bCs/>
                <w:kern w:val="0"/>
                <w:szCs w:val="21"/>
              </w:rPr>
              <w:t>第二款：</w:t>
            </w:r>
            <w:r>
              <w:rPr>
                <w:bCs/>
                <w:kern w:val="0"/>
                <w:szCs w:val="21"/>
              </w:rPr>
              <w:t>任何单位和个人不得违法限制或者排斥本地区、本系统以外的法人或者其他组织参加投标，不得以任何方式非法干涉招标投标活动。</w:t>
            </w:r>
            <w:r>
              <w:rPr>
                <w:rFonts w:hint="eastAsia"/>
                <w:bCs/>
                <w:kern w:val="0"/>
                <w:szCs w:val="21"/>
              </w:rPr>
              <w:t>第十五条：招标代理机构应当在招标人委托的范围内办理招标事宜，并遵守本法关于招标人的规定。</w:t>
            </w:r>
          </w:p>
          <w:p w:rsidR="00EE0505" w:rsidRDefault="00EE0505" w:rsidP="00B57CFA">
            <w:pPr>
              <w:widowControl/>
              <w:spacing w:line="320" w:lineRule="exact"/>
              <w:rPr>
                <w:bCs/>
                <w:kern w:val="0"/>
                <w:szCs w:val="21"/>
              </w:rPr>
            </w:pPr>
            <w:r>
              <w:rPr>
                <w:rFonts w:hint="eastAsia"/>
                <w:bCs/>
                <w:kern w:val="0"/>
                <w:szCs w:val="21"/>
              </w:rPr>
              <w:t>【违法责任】《中华人民共和国招标投标法》第五十条：招标代理机构违反本法规定，泄露应当保密的与招标投标活动有关的情况和资料的，或者与招标人、投标人串通损害国家利益、</w:t>
            </w:r>
            <w:r>
              <w:rPr>
                <w:rFonts w:hint="eastAsia"/>
                <w:bCs/>
                <w:kern w:val="0"/>
                <w:szCs w:val="21"/>
              </w:rPr>
              <w:lastRenderedPageBreak/>
              <w:t>社会公共利益或者他人合法权益的，处五万元以上二十五万元以下的罚款，对单位直接负责的主管人员和其他直接责任人员</w:t>
            </w:r>
            <w:proofErr w:type="gramStart"/>
            <w:r>
              <w:rPr>
                <w:rFonts w:hint="eastAsia"/>
                <w:bCs/>
                <w:kern w:val="0"/>
                <w:szCs w:val="21"/>
              </w:rPr>
              <w:t>处单位</w:t>
            </w:r>
            <w:proofErr w:type="gramEnd"/>
            <w:r>
              <w:rPr>
                <w:rFonts w:hint="eastAsia"/>
                <w:bCs/>
                <w:kern w:val="0"/>
                <w:szCs w:val="21"/>
              </w:rPr>
              <w:t>罚款数额百分之五以上百分之十以下的罚款</w:t>
            </w:r>
            <w:r>
              <w:rPr>
                <w:rFonts w:hint="eastAsia"/>
                <w:bCs/>
                <w:kern w:val="0"/>
                <w:szCs w:val="21"/>
              </w:rPr>
              <w:t>;</w:t>
            </w:r>
            <w:r>
              <w:rPr>
                <w:rFonts w:hint="eastAsia"/>
                <w:bCs/>
                <w:kern w:val="0"/>
                <w:szCs w:val="21"/>
              </w:rPr>
              <w:t>有违法所得的，并处没收违法所得</w:t>
            </w:r>
            <w:r>
              <w:rPr>
                <w:rFonts w:hint="eastAsia"/>
                <w:bCs/>
                <w:kern w:val="0"/>
                <w:szCs w:val="21"/>
              </w:rPr>
              <w:t>;</w:t>
            </w:r>
            <w:r>
              <w:rPr>
                <w:rFonts w:hint="eastAsia"/>
                <w:bCs/>
                <w:kern w:val="0"/>
                <w:szCs w:val="21"/>
              </w:rPr>
              <w:t>情节严重的，禁止其一年至二年内代理依法必须进行招标的项目并予以公告，直至由工商行政管理机关吊销营业执照</w:t>
            </w:r>
            <w:r>
              <w:rPr>
                <w:rFonts w:hint="eastAsia"/>
                <w:bCs/>
                <w:kern w:val="0"/>
                <w:szCs w:val="21"/>
              </w:rPr>
              <w:t>;</w:t>
            </w:r>
            <w:r>
              <w:rPr>
                <w:rFonts w:hint="eastAsia"/>
                <w:bCs/>
                <w:kern w:val="0"/>
                <w:szCs w:val="21"/>
              </w:rPr>
              <w:t>构成犯罪的，依法追究刑事责任。给他人造成损失的，依法承担赔偿责任。前款所</w:t>
            </w:r>
            <w:proofErr w:type="gramStart"/>
            <w:r>
              <w:rPr>
                <w:rFonts w:hint="eastAsia"/>
                <w:bCs/>
                <w:kern w:val="0"/>
                <w:szCs w:val="21"/>
              </w:rPr>
              <w:t>列行</w:t>
            </w:r>
            <w:proofErr w:type="gramEnd"/>
            <w:r>
              <w:rPr>
                <w:rFonts w:hint="eastAsia"/>
                <w:bCs/>
                <w:kern w:val="0"/>
                <w:szCs w:val="21"/>
              </w:rPr>
              <w:t>为影响中标结果的，中标无效。</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bCs/>
                <w:kern w:val="0"/>
                <w:szCs w:val="21"/>
              </w:rPr>
              <w:t>招标代理机构不得泄露应当保密的与招标投标活动有关的情况和资料的，或者与招标人、投标人串通损害国家利益</w:t>
            </w:r>
            <w:r w:rsidR="00B57CFA">
              <w:rPr>
                <w:rFonts w:hint="eastAsia"/>
                <w:bCs/>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t>无锡市水利局基本建设与监督</w:t>
            </w:r>
            <w:r>
              <w:rPr>
                <w:szCs w:val="21"/>
              </w:rPr>
              <w:t>处</w:t>
            </w:r>
            <w:r>
              <w:rPr>
                <w:rFonts w:hint="eastAsia"/>
                <w:szCs w:val="21"/>
              </w:rPr>
              <w:t>80109049</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kern w:val="0"/>
                <w:szCs w:val="21"/>
              </w:rPr>
              <w:t>8</w:t>
            </w:r>
          </w:p>
        </w:tc>
        <w:tc>
          <w:tcPr>
            <w:tcW w:w="1275"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生产经营单位应当加强事故隐患排查治理</w:t>
            </w:r>
          </w:p>
        </w:tc>
        <w:tc>
          <w:tcPr>
            <w:tcW w:w="1702"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水利生产经营单位生产、经营、运输、储存、使用危险物品或者处置废弃危险物品，未建立专门安全管理制度、未采取可靠的安全措施。对重大危险源未登记建档，未进行定期检测、评估、监控，未制定应急预案，或者未告知应急措施。进行爆破、吊装等危险作业，未安</w:t>
            </w:r>
            <w:r>
              <w:rPr>
                <w:rFonts w:hint="eastAsia"/>
                <w:kern w:val="0"/>
                <w:szCs w:val="21"/>
              </w:rPr>
              <w:lastRenderedPageBreak/>
              <w:t>排专门管理人员进行现场安全管理。未建立安全风险分级管控制</w:t>
            </w:r>
            <w:proofErr w:type="gramStart"/>
            <w:r>
              <w:rPr>
                <w:rFonts w:hint="eastAsia"/>
                <w:kern w:val="0"/>
                <w:szCs w:val="21"/>
              </w:rPr>
              <w:t>度或者</w:t>
            </w:r>
            <w:proofErr w:type="gramEnd"/>
            <w:r>
              <w:rPr>
                <w:rFonts w:hint="eastAsia"/>
                <w:kern w:val="0"/>
                <w:szCs w:val="21"/>
              </w:rPr>
              <w:t>未按照安全风险分级采取相应管控措施。未建立事故隐患排查治理制度，或者重大事故隐患排查治理情况未按照规定报告</w:t>
            </w:r>
          </w:p>
        </w:tc>
        <w:tc>
          <w:tcPr>
            <w:tcW w:w="5812" w:type="dxa"/>
            <w:noWrap/>
            <w:tcMar>
              <w:left w:w="108" w:type="dxa"/>
              <w:right w:w="108" w:type="dxa"/>
            </w:tcMar>
          </w:tcPr>
          <w:p w:rsidR="00B57CFA" w:rsidRDefault="00EE0505" w:rsidP="00B57CFA">
            <w:pPr>
              <w:widowControl/>
              <w:spacing w:afterLines="50" w:after="156" w:line="320" w:lineRule="exact"/>
              <w:rPr>
                <w:bCs/>
                <w:kern w:val="0"/>
                <w:szCs w:val="21"/>
              </w:rPr>
            </w:pPr>
            <w:r>
              <w:rPr>
                <w:rFonts w:hint="eastAsia"/>
                <w:bCs/>
                <w:kern w:val="0"/>
                <w:szCs w:val="21"/>
              </w:rPr>
              <w:lastRenderedPageBreak/>
              <w:t>【法律法规】《中华人民共和国安全生产法》</w:t>
            </w:r>
            <w:r>
              <w:rPr>
                <w:bCs/>
                <w:kern w:val="0"/>
                <w:szCs w:val="21"/>
              </w:rPr>
              <w:t>第三十九条</w:t>
            </w:r>
            <w:r>
              <w:rPr>
                <w:rFonts w:hint="eastAsia"/>
                <w:bCs/>
                <w:kern w:val="0"/>
                <w:szCs w:val="21"/>
              </w:rPr>
              <w:t>第二款：</w:t>
            </w:r>
            <w:r>
              <w:rPr>
                <w:bCs/>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第四十条</w:t>
            </w:r>
            <w:r>
              <w:rPr>
                <w:rFonts w:hint="eastAsia"/>
                <w:bCs/>
                <w:kern w:val="0"/>
                <w:szCs w:val="21"/>
              </w:rPr>
              <w:t>：</w:t>
            </w:r>
            <w:r>
              <w:rPr>
                <w:bCs/>
                <w:kern w:val="0"/>
                <w:szCs w:val="21"/>
              </w:rPr>
              <w:t>生产经营单位对重大危险</w:t>
            </w:r>
            <w:proofErr w:type="gramStart"/>
            <w:r>
              <w:rPr>
                <w:bCs/>
                <w:kern w:val="0"/>
                <w:szCs w:val="21"/>
              </w:rPr>
              <w:t>源应当</w:t>
            </w:r>
            <w:proofErr w:type="gramEnd"/>
            <w:r>
              <w:rPr>
                <w:bCs/>
                <w:kern w:val="0"/>
                <w:szCs w:val="21"/>
              </w:rPr>
              <w:t>登记建档，进行定期检测、评估、监控，并制定应急预案，告知从业人员和相关人员在紧急情况下应当采取的应急措施。生产经营单位应当按照国家有关规定将本单位重大危险源及有关安全措施、应急措施报有关地方人民政府应急管理部门和有关部门备案。第四十一条</w:t>
            </w:r>
            <w:r>
              <w:rPr>
                <w:rFonts w:hint="eastAsia"/>
                <w:bCs/>
                <w:kern w:val="0"/>
                <w:szCs w:val="21"/>
              </w:rPr>
              <w:t>：</w:t>
            </w:r>
            <w:r>
              <w:rPr>
                <w:bCs/>
                <w:kern w:val="0"/>
                <w:szCs w:val="21"/>
              </w:rPr>
              <w:t>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w:t>
            </w:r>
          </w:p>
          <w:p w:rsidR="00EE0505" w:rsidRDefault="00EE0505" w:rsidP="00B57CFA">
            <w:pPr>
              <w:widowControl/>
              <w:spacing w:afterLines="50" w:after="156" w:line="320" w:lineRule="exact"/>
              <w:rPr>
                <w:bCs/>
                <w:kern w:val="0"/>
                <w:szCs w:val="21"/>
              </w:rPr>
            </w:pPr>
            <w:r>
              <w:rPr>
                <w:bCs/>
                <w:kern w:val="0"/>
                <w:szCs w:val="21"/>
              </w:rPr>
              <w:lastRenderedPageBreak/>
              <w:t>重大事故隐患排查治理情况应当及时向负有安全生产监督管理职责的部门和职工大会或者职工代表大会报告。</w:t>
            </w:r>
          </w:p>
          <w:p w:rsidR="00EE0505" w:rsidRDefault="00EE0505" w:rsidP="00B57CFA">
            <w:pPr>
              <w:widowControl/>
              <w:spacing w:line="320" w:lineRule="exact"/>
              <w:rPr>
                <w:bCs/>
                <w:kern w:val="0"/>
                <w:szCs w:val="21"/>
              </w:rPr>
            </w:pPr>
            <w:r>
              <w:rPr>
                <w:rFonts w:hint="eastAsia"/>
                <w:bCs/>
                <w:kern w:val="0"/>
                <w:szCs w:val="21"/>
              </w:rPr>
              <w:t>【违法责任】《中华人民共和国安全生产法》第九十八条：生产经营单位有下列行为之一的，责令限期改正，可以处十万元以下的罚款</w:t>
            </w:r>
            <w:r>
              <w:rPr>
                <w:rFonts w:hint="eastAsia"/>
                <w:bCs/>
                <w:kern w:val="0"/>
                <w:szCs w:val="21"/>
              </w:rPr>
              <w:t>;</w:t>
            </w:r>
            <w:r>
              <w:rPr>
                <w:rFonts w:hint="eastAsia"/>
                <w:bCs/>
                <w:kern w:val="0"/>
                <w:szCs w:val="21"/>
              </w:rPr>
              <w:t>逾期未改正的，责令停产停业整顿，并处十万元以上二十万元以下的罚款，对其直接负责的主管人员和其他直接责任人员处二万元以上五万元以下的罚款</w:t>
            </w:r>
            <w:r>
              <w:rPr>
                <w:rFonts w:hint="eastAsia"/>
                <w:bCs/>
                <w:kern w:val="0"/>
                <w:szCs w:val="21"/>
              </w:rPr>
              <w:t>;</w:t>
            </w:r>
            <w:r>
              <w:rPr>
                <w:rFonts w:hint="eastAsia"/>
                <w:bCs/>
                <w:kern w:val="0"/>
                <w:szCs w:val="21"/>
              </w:rPr>
              <w:t>构成犯罪的，依照刑法有关规定追究刑事责任：</w:t>
            </w:r>
            <w:r>
              <w:rPr>
                <w:rFonts w:hint="eastAsia"/>
                <w:bCs/>
                <w:kern w:val="0"/>
                <w:szCs w:val="21"/>
              </w:rPr>
              <w:t>(</w:t>
            </w:r>
            <w:proofErr w:type="gramStart"/>
            <w:r>
              <w:rPr>
                <w:rFonts w:hint="eastAsia"/>
                <w:bCs/>
                <w:kern w:val="0"/>
                <w:szCs w:val="21"/>
              </w:rPr>
              <w:t>一</w:t>
            </w:r>
            <w:proofErr w:type="gramEnd"/>
            <w:r>
              <w:rPr>
                <w:rFonts w:hint="eastAsia"/>
                <w:bCs/>
                <w:kern w:val="0"/>
                <w:szCs w:val="21"/>
              </w:rPr>
              <w:t>)</w:t>
            </w:r>
            <w:r>
              <w:rPr>
                <w:rFonts w:hint="eastAsia"/>
                <w:bCs/>
                <w:kern w:val="0"/>
                <w:szCs w:val="21"/>
              </w:rPr>
              <w:t>生产、经营、运输、储存、使用危险物品或者处置废弃危险物品，未建立专门安全管理制度、未采取可靠的安全措施的</w:t>
            </w:r>
            <w:r>
              <w:rPr>
                <w:rFonts w:hint="eastAsia"/>
                <w:bCs/>
                <w:kern w:val="0"/>
                <w:szCs w:val="21"/>
              </w:rPr>
              <w:t>;(</w:t>
            </w:r>
            <w:r>
              <w:rPr>
                <w:rFonts w:hint="eastAsia"/>
                <w:bCs/>
                <w:kern w:val="0"/>
                <w:szCs w:val="21"/>
              </w:rPr>
              <w:t>二</w:t>
            </w:r>
            <w:r>
              <w:rPr>
                <w:rFonts w:hint="eastAsia"/>
                <w:bCs/>
                <w:kern w:val="0"/>
                <w:szCs w:val="21"/>
              </w:rPr>
              <w:t>)</w:t>
            </w:r>
            <w:r>
              <w:rPr>
                <w:rFonts w:hint="eastAsia"/>
                <w:bCs/>
                <w:kern w:val="0"/>
                <w:szCs w:val="21"/>
              </w:rPr>
              <w:t>对重大危险源未登记建档，或者未进行评估、监控，或者未制定应急预案的</w:t>
            </w:r>
            <w:r>
              <w:rPr>
                <w:rFonts w:hint="eastAsia"/>
                <w:bCs/>
                <w:kern w:val="0"/>
                <w:szCs w:val="21"/>
              </w:rPr>
              <w:t>;(</w:t>
            </w:r>
            <w:r>
              <w:rPr>
                <w:rFonts w:hint="eastAsia"/>
                <w:bCs/>
                <w:kern w:val="0"/>
                <w:szCs w:val="21"/>
              </w:rPr>
              <w:t>三</w:t>
            </w:r>
            <w:r>
              <w:rPr>
                <w:rFonts w:hint="eastAsia"/>
                <w:bCs/>
                <w:kern w:val="0"/>
                <w:szCs w:val="21"/>
              </w:rPr>
              <w:t>)</w:t>
            </w:r>
            <w:r>
              <w:rPr>
                <w:rFonts w:hint="eastAsia"/>
                <w:bCs/>
                <w:kern w:val="0"/>
                <w:szCs w:val="21"/>
              </w:rPr>
              <w:t>进行爆破、吊装以及国务院安全生产监督管理部门会同国务院有关部门规定的其他危险作业，未安排专门人员进行现场安全管理的</w:t>
            </w:r>
            <w:r>
              <w:rPr>
                <w:rFonts w:hint="eastAsia"/>
                <w:bCs/>
                <w:kern w:val="0"/>
                <w:szCs w:val="21"/>
              </w:rPr>
              <w:t>;</w:t>
            </w:r>
            <w:r>
              <w:rPr>
                <w:rFonts w:hint="eastAsia"/>
                <w:bCs/>
                <w:kern w:val="0"/>
                <w:szCs w:val="21"/>
              </w:rPr>
              <w:t xml:space="preserve">　　</w:t>
            </w:r>
            <w:r>
              <w:rPr>
                <w:rFonts w:hint="eastAsia"/>
                <w:bCs/>
                <w:kern w:val="0"/>
                <w:szCs w:val="21"/>
              </w:rPr>
              <w:t>(</w:t>
            </w:r>
            <w:r>
              <w:rPr>
                <w:rFonts w:hint="eastAsia"/>
                <w:bCs/>
                <w:kern w:val="0"/>
                <w:szCs w:val="21"/>
              </w:rPr>
              <w:t>四</w:t>
            </w:r>
            <w:r>
              <w:rPr>
                <w:rFonts w:hint="eastAsia"/>
                <w:bCs/>
                <w:kern w:val="0"/>
                <w:szCs w:val="21"/>
              </w:rPr>
              <w:t>)</w:t>
            </w:r>
            <w:r>
              <w:rPr>
                <w:rFonts w:hint="eastAsia"/>
                <w:bCs/>
                <w:kern w:val="0"/>
                <w:szCs w:val="21"/>
              </w:rPr>
              <w:t>未建立事故隐患排查治理制度的。第九十九条：生产经营单位未采取措施消除事故隐患的，责令立即消除或者限期消除</w:t>
            </w:r>
            <w:r>
              <w:rPr>
                <w:rFonts w:hint="eastAsia"/>
                <w:bCs/>
                <w:kern w:val="0"/>
                <w:szCs w:val="21"/>
              </w:rPr>
              <w:t>;</w:t>
            </w:r>
            <w:r>
              <w:rPr>
                <w:rFonts w:hint="eastAsia"/>
                <w:bCs/>
                <w:kern w:val="0"/>
                <w:szCs w:val="21"/>
              </w:rPr>
              <w:t>生产经营单位拒不执行的，责令停产停业整顿，并处十万元以上五十万元以下的罚款，对其直接负责的主管人员和其他直接责任人员处二万元以上五万元以下的罚款。</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生产经营单位生产、经营、运输、储存、使用危险物品或处置废弃危险物品，应建立专门安全管理制度、采取可靠的安全措施。对重大危险</w:t>
            </w:r>
            <w:proofErr w:type="gramStart"/>
            <w:r>
              <w:rPr>
                <w:rFonts w:hint="eastAsia"/>
                <w:kern w:val="0"/>
                <w:szCs w:val="21"/>
              </w:rPr>
              <w:t>源登记</w:t>
            </w:r>
            <w:proofErr w:type="gramEnd"/>
            <w:r>
              <w:rPr>
                <w:rFonts w:hint="eastAsia"/>
                <w:kern w:val="0"/>
                <w:szCs w:val="21"/>
              </w:rPr>
              <w:t>建档，定期检测、评估、监控，制定应急预案，告知应急措施。进行爆破、吊装等危险作业，安排专门人员进行现场安全管理。建立安全风险分级管控制度，采取相应管控措施。建立事故隐患排查治理制度，</w:t>
            </w:r>
            <w:r>
              <w:rPr>
                <w:rFonts w:hint="eastAsia"/>
                <w:kern w:val="0"/>
                <w:szCs w:val="21"/>
              </w:rPr>
              <w:lastRenderedPageBreak/>
              <w:t>按规定报告重大事故隐患排查治理情况</w:t>
            </w:r>
            <w:r w:rsidR="00B57CFA">
              <w:rPr>
                <w:rFonts w:hint="eastAsia"/>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lastRenderedPageBreak/>
              <w:t>无锡市水利局基本建设与监督</w:t>
            </w:r>
            <w:r>
              <w:rPr>
                <w:szCs w:val="21"/>
              </w:rPr>
              <w:t>处</w:t>
            </w:r>
            <w:r>
              <w:rPr>
                <w:rFonts w:hint="eastAsia"/>
                <w:szCs w:val="21"/>
              </w:rPr>
              <w:t>80109049</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kern w:val="0"/>
                <w:szCs w:val="21"/>
              </w:rPr>
              <w:t>9</w:t>
            </w:r>
          </w:p>
        </w:tc>
        <w:tc>
          <w:tcPr>
            <w:tcW w:w="1275"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投标人不得互相串通、与招标人串通、向招标人</w:t>
            </w:r>
            <w:r>
              <w:rPr>
                <w:bCs/>
                <w:kern w:val="0"/>
                <w:szCs w:val="21"/>
              </w:rPr>
              <w:t>或者评标委员会成员</w:t>
            </w:r>
            <w:r>
              <w:rPr>
                <w:bCs/>
                <w:kern w:val="0"/>
                <w:szCs w:val="21"/>
              </w:rPr>
              <w:lastRenderedPageBreak/>
              <w:t>行贿谋取中标</w:t>
            </w:r>
            <w:r>
              <w:rPr>
                <w:rFonts w:hint="eastAsia"/>
                <w:bCs/>
                <w:kern w:val="0"/>
                <w:szCs w:val="21"/>
              </w:rPr>
              <w:t>，</w:t>
            </w:r>
            <w:r>
              <w:rPr>
                <w:bCs/>
                <w:kern w:val="0"/>
                <w:szCs w:val="21"/>
              </w:rPr>
              <w:t>不得以低于成本的报价竞标，也不得以他人名义投标或者以其他方式弄虚作假，骗取中标</w:t>
            </w:r>
          </w:p>
        </w:tc>
        <w:tc>
          <w:tcPr>
            <w:tcW w:w="1702"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lastRenderedPageBreak/>
              <w:t>投标人互相串通、与招标人串通、向招标人</w:t>
            </w:r>
            <w:r>
              <w:rPr>
                <w:bCs/>
                <w:kern w:val="0"/>
                <w:szCs w:val="21"/>
              </w:rPr>
              <w:t>或者评标委员会成员行贿谋取中标</w:t>
            </w:r>
            <w:r>
              <w:rPr>
                <w:rFonts w:hint="eastAsia"/>
                <w:bCs/>
                <w:kern w:val="0"/>
                <w:szCs w:val="21"/>
              </w:rPr>
              <w:t>，</w:t>
            </w:r>
            <w:r>
              <w:rPr>
                <w:bCs/>
                <w:kern w:val="0"/>
                <w:szCs w:val="21"/>
              </w:rPr>
              <w:t>以低于成本</w:t>
            </w:r>
            <w:r>
              <w:rPr>
                <w:bCs/>
                <w:kern w:val="0"/>
                <w:szCs w:val="21"/>
              </w:rPr>
              <w:lastRenderedPageBreak/>
              <w:t>的报价竞标，以他人名义投标或者以其他方式弄虚作假，骗取中标</w:t>
            </w:r>
          </w:p>
        </w:tc>
        <w:tc>
          <w:tcPr>
            <w:tcW w:w="5812" w:type="dxa"/>
            <w:noWrap/>
            <w:tcMar>
              <w:left w:w="108" w:type="dxa"/>
              <w:right w:w="108" w:type="dxa"/>
            </w:tcMar>
          </w:tcPr>
          <w:p w:rsidR="00EE0505" w:rsidRDefault="00EE0505" w:rsidP="00B57CFA">
            <w:pPr>
              <w:widowControl/>
              <w:spacing w:afterLines="50" w:after="156" w:line="320" w:lineRule="exact"/>
              <w:rPr>
                <w:bCs/>
                <w:kern w:val="0"/>
                <w:szCs w:val="21"/>
              </w:rPr>
            </w:pPr>
            <w:r>
              <w:rPr>
                <w:rFonts w:hint="eastAsia"/>
                <w:bCs/>
                <w:kern w:val="0"/>
                <w:szCs w:val="21"/>
              </w:rPr>
              <w:lastRenderedPageBreak/>
              <w:t>【法律法规】《中华人民共和国招标投标法》</w:t>
            </w:r>
            <w:r>
              <w:rPr>
                <w:bCs/>
                <w:kern w:val="0"/>
                <w:szCs w:val="21"/>
              </w:rPr>
              <w:t>第三十二条</w:t>
            </w:r>
            <w:r>
              <w:rPr>
                <w:rFonts w:hint="eastAsia"/>
                <w:bCs/>
                <w:kern w:val="0"/>
                <w:szCs w:val="21"/>
              </w:rPr>
              <w:t>：</w:t>
            </w:r>
            <w:r>
              <w:rPr>
                <w:bCs/>
                <w:kern w:val="0"/>
                <w:szCs w:val="21"/>
              </w:rPr>
              <w:t xml:space="preserve"> </w:t>
            </w:r>
            <w:r>
              <w:rPr>
                <w:bCs/>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w:t>
            </w:r>
            <w:r>
              <w:rPr>
                <w:bCs/>
                <w:kern w:val="0"/>
                <w:szCs w:val="21"/>
              </w:rPr>
              <w:lastRenderedPageBreak/>
              <w:t>谋取中标。第三十三条</w:t>
            </w:r>
            <w:r>
              <w:rPr>
                <w:rFonts w:hint="eastAsia"/>
                <w:bCs/>
                <w:kern w:val="0"/>
                <w:szCs w:val="21"/>
              </w:rPr>
              <w:t>：</w:t>
            </w:r>
            <w:r>
              <w:rPr>
                <w:bCs/>
                <w:kern w:val="0"/>
                <w:szCs w:val="21"/>
              </w:rPr>
              <w:t>投标人不得以低于成本的报价竞标，也不得以他人名义投标或者以其他方式弄虚作假，骗取中标。</w:t>
            </w:r>
          </w:p>
          <w:p w:rsidR="00EE0505" w:rsidRDefault="00EE0505" w:rsidP="00B57CFA">
            <w:pPr>
              <w:widowControl/>
              <w:spacing w:line="320" w:lineRule="exact"/>
              <w:rPr>
                <w:bCs/>
                <w:kern w:val="0"/>
                <w:szCs w:val="21"/>
              </w:rPr>
            </w:pPr>
            <w:r>
              <w:rPr>
                <w:rFonts w:hint="eastAsia"/>
                <w:bCs/>
                <w:kern w:val="0"/>
                <w:szCs w:val="21"/>
              </w:rPr>
              <w:t>【违法责任】《中华人民共和国招标投标法》</w:t>
            </w:r>
            <w:r>
              <w:rPr>
                <w:rFonts w:hint="eastAsia"/>
                <w:bCs/>
                <w:kern w:val="0"/>
                <w:szCs w:val="21"/>
              </w:rPr>
              <w:t xml:space="preserve"> </w:t>
            </w:r>
            <w:r>
              <w:rPr>
                <w:rFonts w:hint="eastAsia"/>
                <w:bCs/>
                <w:kern w:val="0"/>
                <w:szCs w:val="21"/>
              </w:rPr>
              <w:t>第五十四条：投标人以他人名义投标或者以其他方式弄虚作假，骗取中标的，中标无效，给招标人造成损失的，依法承担赔偿责任；构成犯罪的，依法追究刑事责任。依法必须进行招标的项目的投标人有前款所</w:t>
            </w:r>
            <w:proofErr w:type="gramStart"/>
            <w:r>
              <w:rPr>
                <w:rFonts w:hint="eastAsia"/>
                <w:bCs/>
                <w:kern w:val="0"/>
                <w:szCs w:val="21"/>
              </w:rPr>
              <w:t>列行</w:t>
            </w:r>
            <w:proofErr w:type="gramEnd"/>
            <w:r>
              <w:rPr>
                <w:rFonts w:hint="eastAsia"/>
                <w:bCs/>
                <w:kern w:val="0"/>
                <w:szCs w:val="21"/>
              </w:rPr>
              <w:t>为尚未构成犯罪的，处中标项目金额千分之五以上千</w:t>
            </w:r>
            <w:proofErr w:type="gramStart"/>
            <w:r>
              <w:rPr>
                <w:rFonts w:hint="eastAsia"/>
                <w:bCs/>
                <w:kern w:val="0"/>
                <w:szCs w:val="21"/>
              </w:rPr>
              <w:t>分之十</w:t>
            </w:r>
            <w:proofErr w:type="gramEnd"/>
            <w:r>
              <w:rPr>
                <w:rFonts w:hint="eastAsia"/>
                <w:bCs/>
                <w:kern w:val="0"/>
                <w:szCs w:val="21"/>
              </w:rPr>
              <w:t>以下的罚款，对单位直接负责的主管人员和其他直接责任人员</w:t>
            </w:r>
            <w:proofErr w:type="gramStart"/>
            <w:r>
              <w:rPr>
                <w:rFonts w:hint="eastAsia"/>
                <w:bCs/>
                <w:kern w:val="0"/>
                <w:szCs w:val="21"/>
              </w:rPr>
              <w:t>处单位</w:t>
            </w:r>
            <w:proofErr w:type="gramEnd"/>
            <w:r>
              <w:rPr>
                <w:rFonts w:hint="eastAsia"/>
                <w:bCs/>
                <w:kern w:val="0"/>
                <w:szCs w:val="21"/>
              </w:rPr>
              <w:t>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投标人不得互相串通、与招标人串通、向招标人</w:t>
            </w:r>
            <w:r>
              <w:rPr>
                <w:bCs/>
                <w:kern w:val="0"/>
                <w:szCs w:val="21"/>
              </w:rPr>
              <w:t>或者评标委员会成员行贿谋取中标</w:t>
            </w:r>
            <w:r>
              <w:rPr>
                <w:rFonts w:hint="eastAsia"/>
                <w:bCs/>
                <w:kern w:val="0"/>
                <w:szCs w:val="21"/>
              </w:rPr>
              <w:t>，</w:t>
            </w:r>
            <w:r>
              <w:rPr>
                <w:bCs/>
                <w:kern w:val="0"/>
                <w:szCs w:val="21"/>
              </w:rPr>
              <w:t>不得以低于成本的报价竞标，也不得以他人名义投标</w:t>
            </w:r>
            <w:r>
              <w:rPr>
                <w:bCs/>
                <w:kern w:val="0"/>
                <w:szCs w:val="21"/>
              </w:rPr>
              <w:lastRenderedPageBreak/>
              <w:t>或者以其他方式弄虚作假，骗取中标</w:t>
            </w:r>
            <w:r w:rsidR="00B57CFA">
              <w:rPr>
                <w:rFonts w:hint="eastAsia"/>
                <w:bCs/>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lastRenderedPageBreak/>
              <w:t>无锡市水利局基本建设与监督</w:t>
            </w:r>
            <w:r>
              <w:rPr>
                <w:szCs w:val="21"/>
              </w:rPr>
              <w:t>处</w:t>
            </w:r>
            <w:r>
              <w:rPr>
                <w:rFonts w:hint="eastAsia"/>
                <w:szCs w:val="21"/>
              </w:rPr>
              <w:t>80109049</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kern w:val="0"/>
                <w:szCs w:val="21"/>
              </w:rPr>
              <w:t>10</w:t>
            </w:r>
          </w:p>
        </w:tc>
        <w:tc>
          <w:tcPr>
            <w:tcW w:w="1275"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勘察、设计、施工、工程监理单位</w:t>
            </w:r>
            <w:r>
              <w:rPr>
                <w:rFonts w:ascii="Arial" w:hAnsi="Arial" w:cs="Arial"/>
                <w:color w:val="333333"/>
                <w:szCs w:val="21"/>
                <w:shd w:val="clear" w:color="auto" w:fill="FFFFFF"/>
              </w:rPr>
              <w:t>在其资质等级许可的范围内承揽工程</w:t>
            </w:r>
          </w:p>
        </w:tc>
        <w:tc>
          <w:tcPr>
            <w:tcW w:w="1702" w:type="dxa"/>
            <w:noWrap/>
            <w:tcMar>
              <w:left w:w="108" w:type="dxa"/>
              <w:right w:w="108" w:type="dxa"/>
            </w:tcMar>
            <w:vAlign w:val="center"/>
          </w:tcPr>
          <w:p w:rsidR="00EE0505" w:rsidRDefault="00140619" w:rsidP="00B57CFA">
            <w:pPr>
              <w:widowControl/>
              <w:spacing w:after="225" w:line="320" w:lineRule="exact"/>
              <w:rPr>
                <w:kern w:val="0"/>
                <w:szCs w:val="21"/>
              </w:rPr>
            </w:pPr>
            <w:r>
              <w:rPr>
                <w:rFonts w:hint="eastAsia"/>
                <w:kern w:val="0"/>
                <w:szCs w:val="21"/>
              </w:rPr>
              <w:t>勘察、设计、施工、工程监理单位超越资质等级承揽工程或者</w:t>
            </w:r>
            <w:r w:rsidR="00EE0505">
              <w:rPr>
                <w:rFonts w:hint="eastAsia"/>
                <w:kern w:val="0"/>
                <w:szCs w:val="21"/>
              </w:rPr>
              <w:t>允许其它单位、个人以本单位名义承揽水利工程</w:t>
            </w:r>
          </w:p>
        </w:tc>
        <w:tc>
          <w:tcPr>
            <w:tcW w:w="5812" w:type="dxa"/>
            <w:noWrap/>
            <w:tcMar>
              <w:left w:w="108" w:type="dxa"/>
              <w:right w:w="108" w:type="dxa"/>
            </w:tcMar>
            <w:vAlign w:val="center"/>
          </w:tcPr>
          <w:p w:rsidR="00EE0505" w:rsidRDefault="00EE0505" w:rsidP="00B57CFA">
            <w:pPr>
              <w:widowControl/>
              <w:spacing w:afterLines="50" w:after="156" w:line="320" w:lineRule="exact"/>
              <w:rPr>
                <w:bCs/>
                <w:kern w:val="0"/>
                <w:szCs w:val="21"/>
              </w:rPr>
            </w:pPr>
            <w:r>
              <w:rPr>
                <w:rFonts w:hint="eastAsia"/>
                <w:bCs/>
                <w:kern w:val="0"/>
                <w:szCs w:val="21"/>
              </w:rPr>
              <w:t>【法律法规】《建设工程质量管理条例》（国务院令第</w:t>
            </w:r>
            <w:r>
              <w:rPr>
                <w:rFonts w:hint="eastAsia"/>
                <w:bCs/>
                <w:kern w:val="0"/>
                <w:szCs w:val="21"/>
              </w:rPr>
              <w:t>687</w:t>
            </w:r>
            <w:r>
              <w:rPr>
                <w:rFonts w:hint="eastAsia"/>
                <w:bCs/>
                <w:kern w:val="0"/>
                <w:szCs w:val="21"/>
              </w:rPr>
              <w:t>号修正）</w:t>
            </w:r>
            <w:r>
              <w:rPr>
                <w:bCs/>
                <w:kern w:val="0"/>
                <w:szCs w:val="21"/>
              </w:rPr>
              <w:t>第十八条</w:t>
            </w:r>
            <w:r>
              <w:rPr>
                <w:rFonts w:hint="eastAsia"/>
                <w:bCs/>
                <w:kern w:val="0"/>
                <w:szCs w:val="21"/>
              </w:rPr>
              <w:t>第二款：</w:t>
            </w:r>
            <w:r>
              <w:rPr>
                <w:bCs/>
                <w:kern w:val="0"/>
                <w:szCs w:val="21"/>
              </w:rPr>
              <w:t>禁止勘察、设计单位超越其资质等级许可的范围或者以其他勘察、设计单位的名义承揽工程。禁止勘察、设计单位允许其他单位或者个人以本单位的名义承揽工程。第二十五条</w:t>
            </w:r>
            <w:r>
              <w:rPr>
                <w:rFonts w:hint="eastAsia"/>
                <w:bCs/>
                <w:kern w:val="0"/>
                <w:szCs w:val="21"/>
              </w:rPr>
              <w:t>第二款：禁止施工单位超越本单位资质等级许可的业务范围或者以其他施工单位的名义承揽工程。</w:t>
            </w:r>
            <w:r>
              <w:rPr>
                <w:bCs/>
                <w:kern w:val="0"/>
                <w:szCs w:val="21"/>
              </w:rPr>
              <w:t>禁止施工单位允许其他单位或者个人以本单位的名义承揽工程。第三十四条</w:t>
            </w:r>
            <w:r>
              <w:rPr>
                <w:rFonts w:hint="eastAsia"/>
                <w:bCs/>
                <w:kern w:val="0"/>
                <w:szCs w:val="21"/>
              </w:rPr>
              <w:t>第二款：</w:t>
            </w:r>
            <w:r>
              <w:rPr>
                <w:bCs/>
                <w:kern w:val="0"/>
                <w:szCs w:val="21"/>
              </w:rPr>
              <w:t>禁止工程监理单位超越本单位资质等级许可的范围或者以其他工程监理单位的名义承担工程监理业务。禁止工程监理单位允许其他单位或者个人以本单位的名义承担工程监理业务。工程监理单位不得转让工程监理业务。</w:t>
            </w:r>
          </w:p>
          <w:p w:rsidR="00EE0505" w:rsidRDefault="00EE0505" w:rsidP="00B57CFA">
            <w:pPr>
              <w:widowControl/>
              <w:spacing w:line="320" w:lineRule="exact"/>
              <w:rPr>
                <w:bCs/>
                <w:kern w:val="0"/>
                <w:szCs w:val="21"/>
              </w:rPr>
            </w:pPr>
            <w:r>
              <w:rPr>
                <w:rFonts w:hint="eastAsia"/>
                <w:bCs/>
                <w:kern w:val="0"/>
                <w:szCs w:val="21"/>
              </w:rPr>
              <w:lastRenderedPageBreak/>
              <w:t>【违法责任】《建设工程质量管理条例》（国务院令第</w:t>
            </w:r>
            <w:r>
              <w:rPr>
                <w:rFonts w:hint="eastAsia"/>
                <w:bCs/>
                <w:kern w:val="0"/>
                <w:szCs w:val="21"/>
              </w:rPr>
              <w:t>687</w:t>
            </w:r>
            <w:r>
              <w:rPr>
                <w:rFonts w:hint="eastAsia"/>
                <w:bCs/>
                <w:kern w:val="0"/>
                <w:szCs w:val="21"/>
              </w:rPr>
              <w:t>号修正）第六十一条：违反本条例规定，勘察、设计、施工、工程监理单位允许其他单位或者个人以本单位名义承揽工程的，责令改正，没收违法所得，对勘察、设计单位和工程监理单位</w:t>
            </w:r>
            <w:proofErr w:type="gramStart"/>
            <w:r>
              <w:rPr>
                <w:rFonts w:hint="eastAsia"/>
                <w:bCs/>
                <w:kern w:val="0"/>
                <w:szCs w:val="21"/>
              </w:rPr>
              <w:t>处合同</w:t>
            </w:r>
            <w:proofErr w:type="gramEnd"/>
            <w:r>
              <w:rPr>
                <w:rFonts w:hint="eastAsia"/>
                <w:bCs/>
                <w:kern w:val="0"/>
                <w:szCs w:val="21"/>
              </w:rPr>
              <w:t>约定的勘察费、设计费和监理酬金</w:t>
            </w:r>
            <w:r>
              <w:rPr>
                <w:rFonts w:hint="eastAsia"/>
                <w:bCs/>
                <w:kern w:val="0"/>
                <w:szCs w:val="21"/>
              </w:rPr>
              <w:t>1</w:t>
            </w:r>
            <w:r>
              <w:rPr>
                <w:rFonts w:hint="eastAsia"/>
                <w:bCs/>
                <w:kern w:val="0"/>
                <w:szCs w:val="21"/>
              </w:rPr>
              <w:t>倍以上</w:t>
            </w:r>
            <w:r>
              <w:rPr>
                <w:rFonts w:hint="eastAsia"/>
                <w:bCs/>
                <w:kern w:val="0"/>
                <w:szCs w:val="21"/>
              </w:rPr>
              <w:t>2</w:t>
            </w:r>
            <w:r>
              <w:rPr>
                <w:rFonts w:hint="eastAsia"/>
                <w:bCs/>
                <w:kern w:val="0"/>
                <w:szCs w:val="21"/>
              </w:rPr>
              <w:t>倍以下的罚款；对施工单位处工程合同价款</w:t>
            </w:r>
            <w:r>
              <w:rPr>
                <w:rFonts w:hint="eastAsia"/>
                <w:bCs/>
                <w:kern w:val="0"/>
                <w:szCs w:val="21"/>
              </w:rPr>
              <w:t>2%</w:t>
            </w:r>
            <w:r>
              <w:rPr>
                <w:rFonts w:hint="eastAsia"/>
                <w:bCs/>
                <w:kern w:val="0"/>
                <w:szCs w:val="21"/>
              </w:rPr>
              <w:t>以上</w:t>
            </w:r>
            <w:r>
              <w:rPr>
                <w:rFonts w:hint="eastAsia"/>
                <w:bCs/>
                <w:kern w:val="0"/>
                <w:szCs w:val="21"/>
              </w:rPr>
              <w:t>4%</w:t>
            </w:r>
            <w:r>
              <w:rPr>
                <w:rFonts w:hint="eastAsia"/>
                <w:bCs/>
                <w:kern w:val="0"/>
                <w:szCs w:val="21"/>
              </w:rPr>
              <w:t>以下的罚款；可以责令停业整顿，降低资质等级；情节严重的，吊销资质证书。第七十三条：依照本条例规定，给予单位罚款处罚的，对单位直接负责的主管人员和其他直接责任人员</w:t>
            </w:r>
            <w:proofErr w:type="gramStart"/>
            <w:r>
              <w:rPr>
                <w:rFonts w:hint="eastAsia"/>
                <w:bCs/>
                <w:kern w:val="0"/>
                <w:szCs w:val="21"/>
              </w:rPr>
              <w:t>处单位</w:t>
            </w:r>
            <w:proofErr w:type="gramEnd"/>
            <w:r>
              <w:rPr>
                <w:rFonts w:hint="eastAsia"/>
                <w:bCs/>
                <w:kern w:val="0"/>
                <w:szCs w:val="21"/>
              </w:rPr>
              <w:t>罚款数额</w:t>
            </w:r>
            <w:r>
              <w:rPr>
                <w:rFonts w:hint="eastAsia"/>
                <w:bCs/>
                <w:kern w:val="0"/>
                <w:szCs w:val="21"/>
              </w:rPr>
              <w:t>5%</w:t>
            </w:r>
            <w:r>
              <w:rPr>
                <w:rFonts w:hint="eastAsia"/>
                <w:bCs/>
                <w:kern w:val="0"/>
                <w:szCs w:val="21"/>
              </w:rPr>
              <w:t>以上</w:t>
            </w:r>
            <w:r>
              <w:rPr>
                <w:rFonts w:hint="eastAsia"/>
                <w:bCs/>
                <w:kern w:val="0"/>
                <w:szCs w:val="21"/>
              </w:rPr>
              <w:t>10%</w:t>
            </w:r>
            <w:r>
              <w:rPr>
                <w:rFonts w:hint="eastAsia"/>
                <w:bCs/>
                <w:kern w:val="0"/>
                <w:szCs w:val="21"/>
              </w:rPr>
              <w:t>以下的罚款。</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B57CFA" w:rsidRDefault="00EE0505" w:rsidP="00B57CFA">
            <w:pPr>
              <w:widowControl/>
              <w:spacing w:after="225" w:line="320" w:lineRule="exact"/>
              <w:rPr>
                <w:kern w:val="0"/>
                <w:szCs w:val="21"/>
              </w:rPr>
            </w:pPr>
            <w:r>
              <w:rPr>
                <w:rFonts w:hint="eastAsia"/>
                <w:kern w:val="0"/>
                <w:szCs w:val="21"/>
              </w:rPr>
              <w:t>勘察、设计、施工、工程监理单位</w:t>
            </w:r>
            <w:r>
              <w:rPr>
                <w:rFonts w:ascii="Arial" w:hAnsi="Arial" w:cs="Arial"/>
                <w:color w:val="333333"/>
                <w:szCs w:val="21"/>
                <w:shd w:val="clear" w:color="auto" w:fill="FFFFFF"/>
              </w:rPr>
              <w:t>在其资质等级许可的范围内承揽工程</w:t>
            </w:r>
            <w:r w:rsidR="00B57CFA">
              <w:rPr>
                <w:rFonts w:ascii="Arial" w:hAnsi="Arial" w:cs="Arial" w:hint="eastAsia"/>
                <w:color w:val="333333"/>
                <w:szCs w:val="21"/>
                <w:shd w:val="clear" w:color="auto" w:fill="FFFFFF"/>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t>无锡市水利局基本建设与监督</w:t>
            </w:r>
            <w:r>
              <w:rPr>
                <w:szCs w:val="21"/>
              </w:rPr>
              <w:t>处</w:t>
            </w:r>
            <w:r>
              <w:rPr>
                <w:rFonts w:hint="eastAsia"/>
                <w:szCs w:val="21"/>
              </w:rPr>
              <w:t>80109049</w:t>
            </w:r>
          </w:p>
        </w:tc>
      </w:tr>
      <w:tr w:rsidR="00EE0505" w:rsidTr="00B57CFA">
        <w:trPr>
          <w:jc w:val="center"/>
        </w:trPr>
        <w:tc>
          <w:tcPr>
            <w:tcW w:w="699" w:type="dxa"/>
            <w:noWrap/>
            <w:tcMar>
              <w:left w:w="108" w:type="dxa"/>
              <w:right w:w="108" w:type="dxa"/>
            </w:tcMar>
            <w:vAlign w:val="center"/>
          </w:tcPr>
          <w:p w:rsidR="00EE0505" w:rsidRDefault="00EE0505" w:rsidP="00B57CFA">
            <w:pPr>
              <w:widowControl/>
              <w:spacing w:after="225" w:line="320" w:lineRule="exact"/>
              <w:jc w:val="center"/>
              <w:rPr>
                <w:kern w:val="0"/>
                <w:szCs w:val="21"/>
              </w:rPr>
            </w:pPr>
            <w:r>
              <w:rPr>
                <w:rFonts w:hint="eastAsia"/>
                <w:kern w:val="0"/>
                <w:szCs w:val="21"/>
              </w:rPr>
              <w:t>11</w:t>
            </w:r>
          </w:p>
        </w:tc>
        <w:tc>
          <w:tcPr>
            <w:tcW w:w="1275" w:type="dxa"/>
            <w:noWrap/>
            <w:tcMar>
              <w:left w:w="108" w:type="dxa"/>
              <w:right w:w="108" w:type="dxa"/>
            </w:tcMar>
            <w:vAlign w:val="center"/>
          </w:tcPr>
          <w:p w:rsidR="00EE0505" w:rsidRDefault="00EE0505" w:rsidP="00B57CFA">
            <w:pPr>
              <w:widowControl/>
              <w:spacing w:after="225" w:line="320" w:lineRule="exact"/>
              <w:rPr>
                <w:bCs/>
                <w:kern w:val="0"/>
                <w:szCs w:val="21"/>
              </w:rPr>
            </w:pPr>
            <w:r>
              <w:rPr>
                <w:rFonts w:hint="eastAsia"/>
                <w:kern w:val="0"/>
                <w:szCs w:val="21"/>
              </w:rPr>
              <w:t>水利生产经营单位按照《江苏省安全生产条例》规定人数配备专职安全生产管理人员</w:t>
            </w:r>
          </w:p>
        </w:tc>
        <w:tc>
          <w:tcPr>
            <w:tcW w:w="1702" w:type="dxa"/>
            <w:noWrap/>
            <w:tcMar>
              <w:left w:w="108" w:type="dxa"/>
              <w:right w:w="108" w:type="dxa"/>
            </w:tcMar>
            <w:vAlign w:val="center"/>
          </w:tcPr>
          <w:p w:rsidR="00EE0505" w:rsidRDefault="00EE0505" w:rsidP="00B57CFA">
            <w:pPr>
              <w:widowControl/>
              <w:spacing w:after="225" w:line="320" w:lineRule="exact"/>
              <w:rPr>
                <w:kern w:val="0"/>
                <w:szCs w:val="21"/>
              </w:rPr>
            </w:pPr>
            <w:r>
              <w:rPr>
                <w:rFonts w:hint="eastAsia"/>
                <w:kern w:val="0"/>
                <w:szCs w:val="21"/>
              </w:rPr>
              <w:t>水利生产经营单位未按照《江苏省安全生产条例》规定人数配备专职安全生产管理人员</w:t>
            </w:r>
          </w:p>
        </w:tc>
        <w:tc>
          <w:tcPr>
            <w:tcW w:w="5812" w:type="dxa"/>
            <w:noWrap/>
            <w:tcMar>
              <w:left w:w="108" w:type="dxa"/>
              <w:right w:w="108" w:type="dxa"/>
            </w:tcMar>
            <w:vAlign w:val="center"/>
          </w:tcPr>
          <w:p w:rsidR="00EE0505" w:rsidRDefault="00EE0505" w:rsidP="00B57CFA">
            <w:pPr>
              <w:widowControl/>
              <w:spacing w:afterLines="50" w:after="156" w:line="320" w:lineRule="exact"/>
              <w:rPr>
                <w:bCs/>
                <w:kern w:val="0"/>
                <w:szCs w:val="21"/>
              </w:rPr>
            </w:pPr>
            <w:r>
              <w:rPr>
                <w:rFonts w:hint="eastAsia"/>
                <w:bCs/>
                <w:kern w:val="0"/>
                <w:szCs w:val="21"/>
              </w:rPr>
              <w:t>【法律法规】《江苏省安全生产条例》</w:t>
            </w:r>
            <w:r>
              <w:rPr>
                <w:bCs/>
                <w:kern w:val="0"/>
                <w:szCs w:val="21"/>
              </w:rPr>
              <w:t>第十五条</w:t>
            </w:r>
            <w:r>
              <w:rPr>
                <w:rFonts w:hint="eastAsia"/>
                <w:bCs/>
                <w:kern w:val="0"/>
                <w:szCs w:val="21"/>
              </w:rPr>
              <w:t>：</w:t>
            </w:r>
            <w:r>
              <w:rPr>
                <w:bCs/>
                <w:kern w:val="0"/>
                <w:szCs w:val="21"/>
              </w:rPr>
              <w:t>矿山、金属冶炼、建筑施工、船舶修造、船舶拆解、道路运输单位和危险物品的生产、经营、储存单位，应当按照下列规定设置安全生产管理机构或者配备专职安全生产管理人员：</w:t>
            </w:r>
            <w:r>
              <w:rPr>
                <w:bCs/>
                <w:kern w:val="0"/>
                <w:szCs w:val="21"/>
              </w:rPr>
              <w:t>(</w:t>
            </w:r>
            <w:proofErr w:type="gramStart"/>
            <w:r>
              <w:rPr>
                <w:bCs/>
                <w:kern w:val="0"/>
                <w:szCs w:val="21"/>
              </w:rPr>
              <w:t>一</w:t>
            </w:r>
            <w:proofErr w:type="gramEnd"/>
            <w:r>
              <w:rPr>
                <w:bCs/>
                <w:kern w:val="0"/>
                <w:szCs w:val="21"/>
              </w:rPr>
              <w:t>)</w:t>
            </w:r>
            <w:r>
              <w:rPr>
                <w:bCs/>
                <w:kern w:val="0"/>
                <w:szCs w:val="21"/>
              </w:rPr>
              <w:t>从业人员</w:t>
            </w:r>
            <w:proofErr w:type="gramStart"/>
            <w:r>
              <w:rPr>
                <w:bCs/>
                <w:kern w:val="0"/>
                <w:szCs w:val="21"/>
              </w:rPr>
              <w:t>不足三十</w:t>
            </w:r>
            <w:proofErr w:type="gramEnd"/>
            <w:r>
              <w:rPr>
                <w:bCs/>
                <w:kern w:val="0"/>
                <w:szCs w:val="21"/>
              </w:rPr>
              <w:t>人的，配备一名以上专职安全生产管理人员</w:t>
            </w:r>
            <w:r>
              <w:rPr>
                <w:bCs/>
                <w:kern w:val="0"/>
                <w:szCs w:val="21"/>
              </w:rPr>
              <w:t>;(</w:t>
            </w:r>
            <w:r>
              <w:rPr>
                <w:bCs/>
                <w:kern w:val="0"/>
                <w:szCs w:val="21"/>
              </w:rPr>
              <w:t>二</w:t>
            </w:r>
            <w:r>
              <w:rPr>
                <w:bCs/>
                <w:kern w:val="0"/>
                <w:szCs w:val="21"/>
              </w:rPr>
              <w:t>)</w:t>
            </w:r>
            <w:r>
              <w:rPr>
                <w:bCs/>
                <w:kern w:val="0"/>
                <w:szCs w:val="21"/>
              </w:rPr>
              <w:t>从业人员三十人以上</w:t>
            </w:r>
            <w:proofErr w:type="gramStart"/>
            <w:r>
              <w:rPr>
                <w:bCs/>
                <w:kern w:val="0"/>
                <w:szCs w:val="21"/>
              </w:rPr>
              <w:t>不足一百</w:t>
            </w:r>
            <w:proofErr w:type="gramEnd"/>
            <w:r>
              <w:rPr>
                <w:bCs/>
                <w:kern w:val="0"/>
                <w:szCs w:val="21"/>
              </w:rPr>
              <w:t>人的，设置专门的安全生产管理机构，并配备两名以上专职安全生产管理人员</w:t>
            </w:r>
            <w:r>
              <w:rPr>
                <w:bCs/>
                <w:kern w:val="0"/>
                <w:szCs w:val="21"/>
              </w:rPr>
              <w:t>;(</w:t>
            </w:r>
            <w:r>
              <w:rPr>
                <w:bCs/>
                <w:kern w:val="0"/>
                <w:szCs w:val="21"/>
              </w:rPr>
              <w:t>三</w:t>
            </w:r>
            <w:r>
              <w:rPr>
                <w:bCs/>
                <w:kern w:val="0"/>
                <w:szCs w:val="21"/>
              </w:rPr>
              <w:t>)</w:t>
            </w:r>
            <w:r>
              <w:rPr>
                <w:bCs/>
                <w:kern w:val="0"/>
                <w:szCs w:val="21"/>
              </w:rPr>
              <w:t>从业人员一百人以上</w:t>
            </w:r>
            <w:proofErr w:type="gramStart"/>
            <w:r>
              <w:rPr>
                <w:bCs/>
                <w:kern w:val="0"/>
                <w:szCs w:val="21"/>
              </w:rPr>
              <w:t>不足三百</w:t>
            </w:r>
            <w:proofErr w:type="gramEnd"/>
            <w:r>
              <w:rPr>
                <w:bCs/>
                <w:kern w:val="0"/>
                <w:szCs w:val="21"/>
              </w:rPr>
              <w:t>人的，设置专门的安全生产管理机构，并配备三名以上专职安全生产管理人员</w:t>
            </w:r>
            <w:r>
              <w:rPr>
                <w:bCs/>
                <w:kern w:val="0"/>
                <w:szCs w:val="21"/>
              </w:rPr>
              <w:t>;(</w:t>
            </w:r>
            <w:r>
              <w:rPr>
                <w:bCs/>
                <w:kern w:val="0"/>
                <w:szCs w:val="21"/>
              </w:rPr>
              <w:t>四</w:t>
            </w:r>
            <w:r>
              <w:rPr>
                <w:bCs/>
                <w:kern w:val="0"/>
                <w:szCs w:val="21"/>
              </w:rPr>
              <w:t>)</w:t>
            </w:r>
            <w:r>
              <w:rPr>
                <w:bCs/>
                <w:kern w:val="0"/>
                <w:szCs w:val="21"/>
              </w:rPr>
              <w:t>从业人员三百人以上的，设置专门的安全生产管理机构，并按不低于从业人员百分之一的比例配备专职安全生产管理人员。前款规定以外的其他生产经营单位，从业人员一百人以上的，应当设置安全生产管理机构或者配备专职安全生产管理人员</w:t>
            </w:r>
            <w:r>
              <w:rPr>
                <w:bCs/>
                <w:kern w:val="0"/>
                <w:szCs w:val="21"/>
              </w:rPr>
              <w:t>;</w:t>
            </w:r>
            <w:r>
              <w:rPr>
                <w:bCs/>
                <w:kern w:val="0"/>
                <w:szCs w:val="21"/>
              </w:rPr>
              <w:t>从业人员</w:t>
            </w:r>
            <w:proofErr w:type="gramStart"/>
            <w:r>
              <w:rPr>
                <w:bCs/>
                <w:kern w:val="0"/>
                <w:szCs w:val="21"/>
              </w:rPr>
              <w:t>不足一百</w:t>
            </w:r>
            <w:proofErr w:type="gramEnd"/>
            <w:r>
              <w:rPr>
                <w:bCs/>
                <w:kern w:val="0"/>
                <w:szCs w:val="21"/>
              </w:rPr>
              <w:t>人的，应当配备专职或者兼职的安全生产管理人员。</w:t>
            </w:r>
          </w:p>
          <w:p w:rsidR="00EE0505" w:rsidRDefault="00EE0505" w:rsidP="00B57CFA">
            <w:pPr>
              <w:widowControl/>
              <w:spacing w:line="320" w:lineRule="exact"/>
              <w:rPr>
                <w:bCs/>
                <w:kern w:val="0"/>
                <w:szCs w:val="21"/>
              </w:rPr>
            </w:pPr>
            <w:r>
              <w:rPr>
                <w:rFonts w:hint="eastAsia"/>
                <w:bCs/>
                <w:kern w:val="0"/>
                <w:szCs w:val="21"/>
              </w:rPr>
              <w:lastRenderedPageBreak/>
              <w:t>【违法责任】《江苏省安全生产条例》第四十八条：生产经营单位违反本条例第十五条规定，未按照规定设置安全生产管理机构或者配备安全生产管理人员的，责令限期改正，可以处五万元以下的罚款</w:t>
            </w:r>
            <w:r>
              <w:rPr>
                <w:rFonts w:hint="eastAsia"/>
                <w:bCs/>
                <w:kern w:val="0"/>
                <w:szCs w:val="21"/>
              </w:rPr>
              <w:t>;</w:t>
            </w:r>
            <w:r>
              <w:rPr>
                <w:rFonts w:hint="eastAsia"/>
                <w:bCs/>
                <w:kern w:val="0"/>
                <w:szCs w:val="21"/>
              </w:rPr>
              <w:t>逾期未改正的，责令停产停业整顿，并处五万元以上十万元以下的罚款，对其直接负责的主管人员和其他直接责任人员处一万元以上二万元以下的罚款</w:t>
            </w:r>
          </w:p>
        </w:tc>
        <w:tc>
          <w:tcPr>
            <w:tcW w:w="1276" w:type="dxa"/>
            <w:noWrap/>
            <w:tcMar>
              <w:left w:w="108" w:type="dxa"/>
              <w:right w:w="108" w:type="dxa"/>
            </w:tcMar>
            <w:vAlign w:val="center"/>
          </w:tcPr>
          <w:p w:rsidR="00EE0505" w:rsidRDefault="00EE0505" w:rsidP="00B57CFA">
            <w:pPr>
              <w:widowControl/>
              <w:spacing w:after="225" w:line="320" w:lineRule="exact"/>
              <w:jc w:val="center"/>
              <w:rPr>
                <w:rFonts w:ascii="宋体" w:cs="宋体"/>
                <w:kern w:val="0"/>
                <w:szCs w:val="21"/>
              </w:rPr>
            </w:pPr>
            <w:r>
              <w:rPr>
                <w:rFonts w:ascii="宋体" w:cs="宋体" w:hint="eastAsia"/>
                <w:kern w:val="0"/>
                <w:szCs w:val="21"/>
              </w:rPr>
              <w:lastRenderedPageBreak/>
              <w:t>★★</w:t>
            </w:r>
          </w:p>
        </w:tc>
        <w:tc>
          <w:tcPr>
            <w:tcW w:w="2410" w:type="dxa"/>
            <w:noWrap/>
            <w:tcMar>
              <w:left w:w="108" w:type="dxa"/>
              <w:right w:w="108" w:type="dxa"/>
            </w:tcMar>
            <w:vAlign w:val="center"/>
          </w:tcPr>
          <w:p w:rsidR="00EE0505" w:rsidRDefault="00EE0505" w:rsidP="00B57CFA">
            <w:pPr>
              <w:widowControl/>
              <w:spacing w:after="225" w:line="320" w:lineRule="exact"/>
              <w:rPr>
                <w:bCs/>
                <w:kern w:val="0"/>
                <w:szCs w:val="21"/>
              </w:rPr>
            </w:pPr>
            <w:r>
              <w:rPr>
                <w:rFonts w:hint="eastAsia"/>
                <w:kern w:val="0"/>
                <w:szCs w:val="21"/>
              </w:rPr>
              <w:t>水利生产经营单位按照《江苏省安全生产条例》规定人数配备专职安全生产管理人员</w:t>
            </w:r>
            <w:r w:rsidR="00B57CFA">
              <w:rPr>
                <w:rFonts w:hint="eastAsia"/>
                <w:kern w:val="0"/>
                <w:szCs w:val="21"/>
              </w:rPr>
              <w:t>。</w:t>
            </w:r>
          </w:p>
        </w:tc>
        <w:tc>
          <w:tcPr>
            <w:tcW w:w="1266" w:type="dxa"/>
            <w:noWrap/>
            <w:tcMar>
              <w:left w:w="108" w:type="dxa"/>
              <w:right w:w="108" w:type="dxa"/>
            </w:tcMar>
            <w:vAlign w:val="center"/>
          </w:tcPr>
          <w:p w:rsidR="00EE0505" w:rsidRDefault="00EE0505" w:rsidP="00B57CFA">
            <w:pPr>
              <w:widowControl/>
              <w:spacing w:after="225" w:line="320" w:lineRule="exact"/>
              <w:rPr>
                <w:szCs w:val="21"/>
              </w:rPr>
            </w:pPr>
            <w:r>
              <w:rPr>
                <w:rFonts w:hint="eastAsia"/>
                <w:szCs w:val="21"/>
              </w:rPr>
              <w:t>无锡市水利局基本建设与监督</w:t>
            </w:r>
            <w:r>
              <w:rPr>
                <w:szCs w:val="21"/>
              </w:rPr>
              <w:t>处</w:t>
            </w:r>
            <w:r>
              <w:rPr>
                <w:rFonts w:hint="eastAsia"/>
                <w:szCs w:val="21"/>
              </w:rPr>
              <w:t>80109049</w:t>
            </w:r>
          </w:p>
        </w:tc>
      </w:tr>
    </w:tbl>
    <w:p w:rsidR="0068037F" w:rsidRDefault="0068037F" w:rsidP="00B57CFA">
      <w:pPr>
        <w:widowControl/>
        <w:shd w:val="clear" w:color="auto" w:fill="FFFFFF"/>
        <w:spacing w:line="320" w:lineRule="exact"/>
        <w:jc w:val="left"/>
        <w:rPr>
          <w:rFonts w:ascii="微软雅黑" w:hAnsi="微软雅黑" w:cs="宋体"/>
          <w:kern w:val="0"/>
          <w:sz w:val="24"/>
        </w:rPr>
      </w:pPr>
      <w:r>
        <w:rPr>
          <w:rFonts w:ascii="宋体" w:hint="eastAsia"/>
          <w:kern w:val="0"/>
          <w:szCs w:val="21"/>
        </w:rPr>
        <w:t>备注：</w:t>
      </w:r>
      <w:r>
        <w:rPr>
          <w:kern w:val="0"/>
          <w:szCs w:val="21"/>
        </w:rPr>
        <w:t>1</w:t>
      </w:r>
      <w:r>
        <w:rPr>
          <w:rFonts w:ascii="宋体" w:hint="eastAsia"/>
          <w:kern w:val="0"/>
          <w:szCs w:val="21"/>
        </w:rPr>
        <w:t>．发生频率较高的为</w:t>
      </w:r>
      <w:r>
        <w:rPr>
          <w:rFonts w:ascii="宋体" w:cs="宋体" w:hint="eastAsia"/>
          <w:kern w:val="0"/>
          <w:szCs w:val="21"/>
        </w:rPr>
        <w:t>★★★</w:t>
      </w:r>
      <w:r>
        <w:rPr>
          <w:rFonts w:ascii="宋体" w:hint="eastAsia"/>
          <w:kern w:val="0"/>
          <w:szCs w:val="21"/>
        </w:rPr>
        <w:t>，发生频率一般的为</w:t>
      </w:r>
      <w:r>
        <w:rPr>
          <w:rFonts w:ascii="宋体" w:cs="宋体" w:hint="eastAsia"/>
          <w:kern w:val="0"/>
          <w:szCs w:val="21"/>
        </w:rPr>
        <w:t>★★</w:t>
      </w:r>
      <w:r>
        <w:rPr>
          <w:rFonts w:ascii="宋体" w:hint="eastAsia"/>
          <w:kern w:val="0"/>
          <w:szCs w:val="21"/>
        </w:rPr>
        <w:t>，发生频率较少的为</w:t>
      </w:r>
      <w:r>
        <w:rPr>
          <w:rFonts w:ascii="宋体" w:cs="宋体" w:hint="eastAsia"/>
          <w:kern w:val="0"/>
          <w:szCs w:val="21"/>
        </w:rPr>
        <w:t>★；</w:t>
      </w:r>
    </w:p>
    <w:p w:rsidR="0068037F" w:rsidRDefault="0068037F" w:rsidP="00B57CFA">
      <w:pPr>
        <w:snapToGrid w:val="0"/>
        <w:ind w:firstLineChars="300" w:firstLine="630"/>
        <w:rPr>
          <w:sz w:val="32"/>
          <w:szCs w:val="32"/>
        </w:rPr>
      </w:pPr>
      <w:r>
        <w:rPr>
          <w:color w:val="333333"/>
          <w:kern w:val="0"/>
          <w:szCs w:val="21"/>
        </w:rPr>
        <w:t>2</w:t>
      </w:r>
      <w:r>
        <w:rPr>
          <w:rFonts w:ascii="宋体" w:hint="eastAsia"/>
          <w:color w:val="333333"/>
          <w:kern w:val="0"/>
          <w:szCs w:val="21"/>
        </w:rPr>
        <w:t>．该清单并未涵盖</w:t>
      </w:r>
      <w:r>
        <w:rPr>
          <w:rFonts w:hint="eastAsia"/>
          <w:b/>
          <w:color w:val="333333"/>
          <w:kern w:val="0"/>
          <w:szCs w:val="21"/>
          <w:u w:val="single"/>
        </w:rPr>
        <w:t>水利</w:t>
      </w:r>
      <w:r>
        <w:rPr>
          <w:rFonts w:ascii="宋体" w:hint="eastAsia"/>
          <w:color w:val="333333"/>
          <w:kern w:val="0"/>
          <w:szCs w:val="21"/>
        </w:rPr>
        <w:t>领域所有违法违规行为，合</w:t>
      </w:r>
      <w:proofErr w:type="gramStart"/>
      <w:r>
        <w:rPr>
          <w:rFonts w:ascii="宋体" w:hint="eastAsia"/>
          <w:color w:val="333333"/>
          <w:kern w:val="0"/>
          <w:szCs w:val="21"/>
        </w:rPr>
        <w:t>规</w:t>
      </w:r>
      <w:proofErr w:type="gramEnd"/>
      <w:r>
        <w:rPr>
          <w:rFonts w:ascii="宋体" w:hint="eastAsia"/>
          <w:color w:val="333333"/>
          <w:kern w:val="0"/>
          <w:szCs w:val="21"/>
        </w:rPr>
        <w:t>建议仅为行政指导，不作为企业免责依据。</w:t>
      </w:r>
    </w:p>
    <w:p w:rsidR="0068037F" w:rsidRPr="0068037F" w:rsidRDefault="0068037F" w:rsidP="00B57CFA"/>
    <w:sectPr w:rsidR="0068037F" w:rsidRPr="0068037F" w:rsidSect="009F2A8B">
      <w:footerReference w:type="default" r:id="rId7"/>
      <w:pgSz w:w="16838" w:h="11906" w:orient="landscape" w:code="9"/>
      <w:pgMar w:top="1588" w:right="1418" w:bottom="147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27" w:rsidRDefault="00260B27" w:rsidP="009F2A8B">
      <w:r>
        <w:separator/>
      </w:r>
    </w:p>
  </w:endnote>
  <w:endnote w:type="continuationSeparator" w:id="0">
    <w:p w:rsidR="00260B27" w:rsidRDefault="00260B27" w:rsidP="009F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61419"/>
      <w:docPartObj>
        <w:docPartGallery w:val="Page Numbers (Bottom of Page)"/>
        <w:docPartUnique/>
      </w:docPartObj>
    </w:sdtPr>
    <w:sdtEndPr>
      <w:rPr>
        <w:sz w:val="28"/>
        <w:szCs w:val="28"/>
      </w:rPr>
    </w:sdtEndPr>
    <w:sdtContent>
      <w:p w:rsidR="009F2A8B" w:rsidRPr="009F2A8B" w:rsidRDefault="009F2A8B">
        <w:pPr>
          <w:pStyle w:val="a5"/>
          <w:jc w:val="center"/>
          <w:rPr>
            <w:sz w:val="28"/>
            <w:szCs w:val="28"/>
          </w:rPr>
        </w:pPr>
        <w:r w:rsidRPr="009F2A8B">
          <w:rPr>
            <w:sz w:val="28"/>
            <w:szCs w:val="28"/>
          </w:rPr>
          <w:fldChar w:fldCharType="begin"/>
        </w:r>
        <w:r w:rsidRPr="009F2A8B">
          <w:rPr>
            <w:sz w:val="28"/>
            <w:szCs w:val="28"/>
          </w:rPr>
          <w:instrText>PAGE   \* MERGEFORMAT</w:instrText>
        </w:r>
        <w:r w:rsidRPr="009F2A8B">
          <w:rPr>
            <w:sz w:val="28"/>
            <w:szCs w:val="28"/>
          </w:rPr>
          <w:fldChar w:fldCharType="separate"/>
        </w:r>
        <w:r w:rsidR="005B63AE" w:rsidRPr="005B63AE">
          <w:rPr>
            <w:noProof/>
            <w:sz w:val="28"/>
            <w:szCs w:val="28"/>
            <w:lang w:val="zh-CN"/>
          </w:rPr>
          <w:t>-</w:t>
        </w:r>
        <w:r w:rsidR="005B63AE">
          <w:rPr>
            <w:noProof/>
            <w:sz w:val="28"/>
            <w:szCs w:val="28"/>
          </w:rPr>
          <w:t xml:space="preserve"> 10 -</w:t>
        </w:r>
        <w:r w:rsidRPr="009F2A8B">
          <w:rPr>
            <w:sz w:val="28"/>
            <w:szCs w:val="28"/>
          </w:rPr>
          <w:fldChar w:fldCharType="end"/>
        </w:r>
      </w:p>
    </w:sdtContent>
  </w:sdt>
  <w:p w:rsidR="009F2A8B" w:rsidRDefault="009F2A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27" w:rsidRDefault="00260B27" w:rsidP="009F2A8B">
      <w:r>
        <w:separator/>
      </w:r>
    </w:p>
  </w:footnote>
  <w:footnote w:type="continuationSeparator" w:id="0">
    <w:p w:rsidR="00260B27" w:rsidRDefault="00260B27" w:rsidP="009F2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7F"/>
    <w:rsid w:val="0007422E"/>
    <w:rsid w:val="00084D33"/>
    <w:rsid w:val="00140619"/>
    <w:rsid w:val="00194DB2"/>
    <w:rsid w:val="00260B27"/>
    <w:rsid w:val="003314D8"/>
    <w:rsid w:val="005B63AE"/>
    <w:rsid w:val="005C1512"/>
    <w:rsid w:val="0068037F"/>
    <w:rsid w:val="006F66DB"/>
    <w:rsid w:val="00712474"/>
    <w:rsid w:val="007A5192"/>
    <w:rsid w:val="008A388A"/>
    <w:rsid w:val="009F2A8B"/>
    <w:rsid w:val="00A414BD"/>
    <w:rsid w:val="00AA29D6"/>
    <w:rsid w:val="00B36A1D"/>
    <w:rsid w:val="00B57CFA"/>
    <w:rsid w:val="00BA2564"/>
    <w:rsid w:val="00BF1E22"/>
    <w:rsid w:val="00DA009E"/>
    <w:rsid w:val="00EE0505"/>
    <w:rsid w:val="00F3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C906E-327E-4F25-B259-D64AF4D2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3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68037F"/>
    <w:pPr>
      <w:spacing w:after="120"/>
    </w:pPr>
  </w:style>
  <w:style w:type="character" w:customStyle="1" w:styleId="Char">
    <w:name w:val="正文文本 Char"/>
    <w:basedOn w:val="a0"/>
    <w:link w:val="a3"/>
    <w:uiPriority w:val="99"/>
    <w:rsid w:val="0068037F"/>
    <w:rPr>
      <w:rFonts w:ascii="Times New Roman" w:eastAsia="宋体" w:hAnsi="Times New Roman" w:cs="Times New Roman"/>
      <w:szCs w:val="24"/>
    </w:rPr>
  </w:style>
  <w:style w:type="paragraph" w:styleId="a4">
    <w:name w:val="header"/>
    <w:basedOn w:val="a"/>
    <w:link w:val="Char0"/>
    <w:uiPriority w:val="99"/>
    <w:unhideWhenUsed/>
    <w:rsid w:val="009F2A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2A8B"/>
    <w:rPr>
      <w:rFonts w:ascii="Times New Roman" w:eastAsia="宋体" w:hAnsi="Times New Roman" w:cs="Times New Roman"/>
      <w:sz w:val="18"/>
      <w:szCs w:val="18"/>
    </w:rPr>
  </w:style>
  <w:style w:type="paragraph" w:styleId="a5">
    <w:name w:val="footer"/>
    <w:basedOn w:val="a"/>
    <w:link w:val="Char1"/>
    <w:uiPriority w:val="99"/>
    <w:unhideWhenUsed/>
    <w:rsid w:val="009F2A8B"/>
    <w:pPr>
      <w:tabs>
        <w:tab w:val="center" w:pos="4153"/>
        <w:tab w:val="right" w:pos="8306"/>
      </w:tabs>
      <w:snapToGrid w:val="0"/>
      <w:jc w:val="left"/>
    </w:pPr>
    <w:rPr>
      <w:sz w:val="18"/>
      <w:szCs w:val="18"/>
    </w:rPr>
  </w:style>
  <w:style w:type="character" w:customStyle="1" w:styleId="Char1">
    <w:name w:val="页脚 Char"/>
    <w:basedOn w:val="a0"/>
    <w:link w:val="a5"/>
    <w:uiPriority w:val="99"/>
    <w:rsid w:val="009F2A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5120-61E8-48EE-91E2-4A5B78BE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曹兆礼</dc:creator>
  <cp:keywords/>
  <dc:description/>
  <cp:lastModifiedBy>曹兆礼</cp:lastModifiedBy>
  <cp:revision>14</cp:revision>
  <cp:lastPrinted>2023-10-30T02:44:00Z</cp:lastPrinted>
  <dcterms:created xsi:type="dcterms:W3CDTF">2023-10-23T07:18:00Z</dcterms:created>
  <dcterms:modified xsi:type="dcterms:W3CDTF">2023-10-30T02:56:00Z</dcterms:modified>
</cp:coreProperties>
</file>